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F670" w14:textId="77777777" w:rsidR="000719BB" w:rsidRDefault="000719BB" w:rsidP="006C2343">
      <w:pPr>
        <w:pStyle w:val="Titul2"/>
      </w:pPr>
    </w:p>
    <w:p w14:paraId="07C2B172" w14:textId="77777777" w:rsidR="00DA1C67" w:rsidRDefault="00DA1C67" w:rsidP="006C2343">
      <w:pPr>
        <w:pStyle w:val="Titul2"/>
      </w:pPr>
    </w:p>
    <w:p w14:paraId="0B09F9CF" w14:textId="77777777" w:rsidR="007A0350" w:rsidRDefault="007A0350" w:rsidP="007A0350">
      <w:pPr>
        <w:pStyle w:val="Titul1"/>
      </w:pPr>
      <w:r>
        <w:t>Technická specifikace</w:t>
      </w:r>
    </w:p>
    <w:p w14:paraId="4714BCA7" w14:textId="77777777" w:rsidR="003254A3" w:rsidRDefault="003254A3" w:rsidP="00AD0C7B">
      <w:pPr>
        <w:pStyle w:val="Titul2"/>
      </w:pPr>
    </w:p>
    <w:p w14:paraId="0196211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7815C8E" w14:textId="77777777" w:rsidR="00AD0C7B" w:rsidRDefault="00AD0C7B" w:rsidP="00EB46E5">
      <w:pPr>
        <w:pStyle w:val="Titul2"/>
      </w:pPr>
    </w:p>
    <w:p w14:paraId="38C89991" w14:textId="1AF19B15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</w:t>
      </w:r>
      <w:r w:rsidR="00F714E1">
        <w:t xml:space="preserve">souboru </w:t>
      </w:r>
      <w:r w:rsidR="00232000" w:rsidRPr="00BF54FE">
        <w:t>stav</w:t>
      </w:r>
      <w:r w:rsidR="00F714E1">
        <w:t>e</w:t>
      </w:r>
      <w:r w:rsidR="00232000" w:rsidRPr="00BF54FE">
        <w:t>b</w:t>
      </w:r>
    </w:p>
    <w:p w14:paraId="02B816F0" w14:textId="77777777" w:rsidR="002007BA" w:rsidRDefault="002007BA" w:rsidP="006C2343">
      <w:pPr>
        <w:pStyle w:val="Tituldatum"/>
      </w:pPr>
    </w:p>
    <w:p w14:paraId="6B549EB2" w14:textId="1EC451DF" w:rsidR="00BF54FE" w:rsidRPr="00E1239D" w:rsidRDefault="003B0BAF" w:rsidP="0051203F">
      <w:pPr>
        <w:pStyle w:val="Tituldatum"/>
        <w:rPr>
          <w:rStyle w:val="Nzevakce"/>
        </w:rPr>
      </w:pPr>
      <w:sdt>
        <w:sdtPr>
          <w:rPr>
            <w:rStyle w:val="Nzevakce"/>
          </w:rPr>
          <w:alias w:val="Název akce - Vypsat pole, přenese se do zápatí"/>
          <w:tag w:val="Název akce"/>
          <w:id w:val="1889687308"/>
          <w:placeholder>
            <w:docPart w:val="CBFE2C3043D44141A33ED3C956BF87B2"/>
          </w:placeholder>
          <w:text w:multiLine="1"/>
        </w:sdtPr>
        <w:sdtEndPr>
          <w:rPr>
            <w:rStyle w:val="Nzevakce"/>
          </w:rPr>
        </w:sdtEndPr>
        <w:sdtContent>
          <w:r w:rsidR="00361855" w:rsidRPr="00E1239D">
            <w:rPr>
              <w:rStyle w:val="Nzevakce"/>
            </w:rPr>
            <w:t>„Zřízení dobíjecí stanice BEMU v</w:t>
          </w:r>
          <w:r w:rsidR="00361855">
            <w:rPr>
              <w:rStyle w:val="Nzevakce"/>
            </w:rPr>
            <w:t> </w:t>
          </w:r>
          <w:r w:rsidR="00361855" w:rsidRPr="00E1239D">
            <w:rPr>
              <w:rStyle w:val="Nzevakce"/>
            </w:rPr>
            <w:t>žst. Štramberk“</w:t>
          </w:r>
          <w:r w:rsidR="00A07F9F">
            <w:rPr>
              <w:rStyle w:val="Nzevakce"/>
            </w:rPr>
            <w:t xml:space="preserve">, </w:t>
          </w:r>
          <w:r w:rsidR="008E6A16">
            <w:rPr>
              <w:rStyle w:val="Nzevakce"/>
            </w:rPr>
            <w:br/>
          </w:r>
          <w:r w:rsidR="00361855" w:rsidRPr="00E1239D">
            <w:rPr>
              <w:rStyle w:val="Nzevakce"/>
            </w:rPr>
            <w:t>„Zřízení dobíjecí stanice BEMU v</w:t>
          </w:r>
          <w:r w:rsidR="00361855">
            <w:rPr>
              <w:rStyle w:val="Nzevakce"/>
            </w:rPr>
            <w:t> </w:t>
          </w:r>
          <w:r w:rsidR="00361855" w:rsidRPr="00E1239D">
            <w:rPr>
              <w:rStyle w:val="Nzevakce"/>
            </w:rPr>
            <w:t>žst. Krnov“</w:t>
          </w:r>
          <w:r w:rsidR="00A07F9F">
            <w:rPr>
              <w:rStyle w:val="Nzevakce"/>
            </w:rPr>
            <w:t xml:space="preserve">, </w:t>
          </w:r>
          <w:r w:rsidR="008E6A16">
            <w:rPr>
              <w:rStyle w:val="Nzevakce"/>
            </w:rPr>
            <w:br/>
          </w:r>
          <w:r w:rsidR="00361855" w:rsidRPr="00E1239D">
            <w:rPr>
              <w:rStyle w:val="Nzevakce"/>
            </w:rPr>
            <w:t>„Zřízení dobíjecí stanice BEMU v</w:t>
          </w:r>
          <w:r w:rsidR="00361855">
            <w:rPr>
              <w:rStyle w:val="Nzevakce"/>
            </w:rPr>
            <w:t> </w:t>
          </w:r>
          <w:r w:rsidR="00361855" w:rsidRPr="00E1239D">
            <w:rPr>
              <w:rStyle w:val="Nzevakce"/>
            </w:rPr>
            <w:t>žst. Budišov nad Budišovkou“,</w:t>
          </w:r>
          <w:r w:rsidR="00A07F9F">
            <w:rPr>
              <w:rStyle w:val="Nzevakce"/>
            </w:rPr>
            <w:t xml:space="preserve"> </w:t>
          </w:r>
          <w:r w:rsidR="008E6A16">
            <w:rPr>
              <w:rStyle w:val="Nzevakce"/>
            </w:rPr>
            <w:br/>
          </w:r>
          <w:r w:rsidR="00361855" w:rsidRPr="00E1239D">
            <w:rPr>
              <w:rStyle w:val="Nzevakce"/>
            </w:rPr>
            <w:t>1. část - dodání a instalace technologie ke zřízení dobíjecí stanice BEMU</w:t>
          </w:r>
        </w:sdtContent>
      </w:sdt>
    </w:p>
    <w:p w14:paraId="776F7FFE" w14:textId="77777777" w:rsidR="003B111D" w:rsidRDefault="003B111D" w:rsidP="006C2343">
      <w:pPr>
        <w:pStyle w:val="Tituldatum"/>
      </w:pPr>
    </w:p>
    <w:p w14:paraId="695D9E59" w14:textId="77777777" w:rsidR="00575274" w:rsidRDefault="00575274" w:rsidP="006C2343">
      <w:pPr>
        <w:pStyle w:val="Tituldatum"/>
      </w:pPr>
    </w:p>
    <w:p w14:paraId="0B8E1DD3" w14:textId="5083BFB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5086D">
        <w:t>28</w:t>
      </w:r>
      <w:r w:rsidR="003A72CE" w:rsidRPr="00595C4A">
        <w:t>.</w:t>
      </w:r>
      <w:r w:rsidRPr="00595C4A">
        <w:t xml:space="preserve"> </w:t>
      </w:r>
      <w:r w:rsidR="00AD28D3">
        <w:t>5</w:t>
      </w:r>
      <w:r w:rsidRPr="00595C4A">
        <w:t>. 20</w:t>
      </w:r>
      <w:r w:rsidR="003202DC" w:rsidRPr="00595C4A">
        <w:t>2</w:t>
      </w:r>
      <w:r w:rsidR="001960FD" w:rsidRPr="00595C4A">
        <w:t>4</w:t>
      </w:r>
      <w:r w:rsidR="0076790E">
        <w:t xml:space="preserve"> </w:t>
      </w:r>
    </w:p>
    <w:p w14:paraId="5BFAD3DF" w14:textId="39390E9A" w:rsidR="00A07F9F" w:rsidRDefault="00A07F9F" w:rsidP="00A07F9F">
      <w:pPr>
        <w:pStyle w:val="Nadpisbezsl1-1"/>
        <w:tabs>
          <w:tab w:val="left" w:pos="3840"/>
        </w:tabs>
      </w:pPr>
      <w:r>
        <w:tab/>
      </w:r>
    </w:p>
    <w:p w14:paraId="2A4145CD" w14:textId="77777777" w:rsidR="00BD7E91" w:rsidRDefault="00826B7B" w:rsidP="00575274">
      <w:pPr>
        <w:pStyle w:val="Nadpisbezsl1-1"/>
      </w:pPr>
      <w:r w:rsidRPr="00A07F9F">
        <w:br w:type="page"/>
      </w:r>
      <w:r w:rsidR="00BD7E91">
        <w:lastRenderedPageBreak/>
        <w:t>Obsah</w:t>
      </w:r>
      <w:r w:rsidR="00887F36">
        <w:t xml:space="preserve"> </w:t>
      </w:r>
    </w:p>
    <w:p w14:paraId="4553C172" w14:textId="587A7EFD" w:rsidR="008F619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184021" w:history="1">
        <w:r w:rsidR="008F6197" w:rsidRPr="00A31F09">
          <w:rPr>
            <w:rStyle w:val="Hypertextovodkaz"/>
          </w:rPr>
          <w:t>SEZNAM ZKRATEK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_Toc167184021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2</w:t>
        </w:r>
        <w:r w:rsidR="008F6197">
          <w:rPr>
            <w:noProof/>
            <w:webHidden/>
          </w:rPr>
          <w:fldChar w:fldCharType="end"/>
        </w:r>
      </w:hyperlink>
    </w:p>
    <w:p w14:paraId="39311AA4" w14:textId="75E74FF2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22" w:history="1">
        <w:r w:rsidR="008F6197" w:rsidRPr="00A31F09">
          <w:rPr>
            <w:rStyle w:val="Hypertextovodkaz"/>
          </w:rPr>
          <w:t>1.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SPECIFIKACE PŘEDMĚTU DÍLA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_Toc167184022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3</w:t>
        </w:r>
        <w:r w:rsidR="008F6197">
          <w:rPr>
            <w:noProof/>
            <w:webHidden/>
          </w:rPr>
          <w:fldChar w:fldCharType="end"/>
        </w:r>
      </w:hyperlink>
    </w:p>
    <w:p w14:paraId="2BD7D275" w14:textId="12C8C533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23" w:history="1">
        <w:r w:rsidR="008F6197" w:rsidRPr="00A31F09">
          <w:rPr>
            <w:rStyle w:val="Hypertextovodkaz"/>
            <w:rFonts w:asciiTheme="majorHAnsi" w:hAnsiTheme="majorHAnsi"/>
          </w:rPr>
          <w:t>1.1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Účel a rozsah předmětu Díla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_Toc167184023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3</w:t>
        </w:r>
        <w:r w:rsidR="008F6197">
          <w:rPr>
            <w:noProof/>
            <w:webHidden/>
          </w:rPr>
          <w:fldChar w:fldCharType="end"/>
        </w:r>
      </w:hyperlink>
    </w:p>
    <w:p w14:paraId="11B193EB" w14:textId="6D889B05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24" w:history="1">
        <w:r w:rsidR="008F6197" w:rsidRPr="00A31F09">
          <w:rPr>
            <w:rStyle w:val="Hypertextovodkaz"/>
            <w:rFonts w:asciiTheme="majorHAnsi" w:hAnsiTheme="majorHAnsi"/>
          </w:rPr>
          <w:t>1.2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Umístění stavby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_Toc167184024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3</w:t>
        </w:r>
        <w:r w:rsidR="008F6197">
          <w:rPr>
            <w:noProof/>
            <w:webHidden/>
          </w:rPr>
          <w:fldChar w:fldCharType="end"/>
        </w:r>
      </w:hyperlink>
    </w:p>
    <w:p w14:paraId="648467CD" w14:textId="77B8F5F2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25" w:history="1">
        <w:r w:rsidR="008F6197" w:rsidRPr="00A31F09">
          <w:rPr>
            <w:rStyle w:val="Hypertextovodkaz"/>
          </w:rPr>
          <w:t>2.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PŘEHLED VÝCHOZÍCH PODKLADŮ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_Toc167184025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3</w:t>
        </w:r>
        <w:r w:rsidR="008F6197">
          <w:rPr>
            <w:noProof/>
            <w:webHidden/>
          </w:rPr>
          <w:fldChar w:fldCharType="end"/>
        </w:r>
      </w:hyperlink>
    </w:p>
    <w:p w14:paraId="468EFD9C" w14:textId="213A237A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26" w:history="1">
        <w:r w:rsidR="008F6197" w:rsidRPr="00A31F09">
          <w:rPr>
            <w:rStyle w:val="Hypertextovodkaz"/>
            <w:rFonts w:asciiTheme="majorHAnsi" w:hAnsiTheme="majorHAnsi"/>
          </w:rPr>
          <w:t>2.1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Projektová dokumentace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_Toc167184026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3</w:t>
        </w:r>
        <w:r w:rsidR="008F6197">
          <w:rPr>
            <w:noProof/>
            <w:webHidden/>
          </w:rPr>
          <w:fldChar w:fldCharType="end"/>
        </w:r>
      </w:hyperlink>
    </w:p>
    <w:p w14:paraId="76A43737" w14:textId="3067140C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27" w:history="1">
        <w:r w:rsidR="008F6197" w:rsidRPr="00A31F09">
          <w:rPr>
            <w:rStyle w:val="Hypertextovodkaz"/>
            <w:rFonts w:asciiTheme="majorHAnsi" w:hAnsiTheme="majorHAnsi"/>
          </w:rPr>
          <w:t>2.2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Související dokumentace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_Toc167184027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4</w:t>
        </w:r>
        <w:r w:rsidR="008F6197">
          <w:rPr>
            <w:noProof/>
            <w:webHidden/>
          </w:rPr>
          <w:fldChar w:fldCharType="end"/>
        </w:r>
      </w:hyperlink>
    </w:p>
    <w:p w14:paraId="14E72840" w14:textId="208171F0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28" w:history="1">
        <w:r w:rsidR="008F6197" w:rsidRPr="00A31F09">
          <w:rPr>
            <w:rStyle w:val="Hypertextovodkaz"/>
          </w:rPr>
          <w:t>3.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KOORDINACE S JINÝMI STAVBAMI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_Toc167184028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4</w:t>
        </w:r>
        <w:r w:rsidR="008F6197">
          <w:rPr>
            <w:noProof/>
            <w:webHidden/>
          </w:rPr>
          <w:fldChar w:fldCharType="end"/>
        </w:r>
      </w:hyperlink>
    </w:p>
    <w:p w14:paraId="02FFEF0D" w14:textId="1C3B2E1E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29" w:history="1">
        <w:r w:rsidR="008F6197" w:rsidRPr="00A31F09">
          <w:rPr>
            <w:rStyle w:val="Hypertextovodkaz"/>
          </w:rPr>
          <w:t>4.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POŽADAVKY NA TECHNICKÉ ŘEŠENÍ PROVEDENÍ DÍLA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_Toc167184029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4</w:t>
        </w:r>
        <w:r w:rsidR="008F6197">
          <w:rPr>
            <w:noProof/>
            <w:webHidden/>
          </w:rPr>
          <w:fldChar w:fldCharType="end"/>
        </w:r>
      </w:hyperlink>
    </w:p>
    <w:p w14:paraId="2F828A5C" w14:textId="2FC2880B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0" w:history="1">
        <w:r w:rsidR="008F6197" w:rsidRPr="00A31F09">
          <w:rPr>
            <w:rStyle w:val="Hypertextovodkaz"/>
            <w:rFonts w:asciiTheme="majorHAnsi" w:hAnsiTheme="majorHAnsi"/>
          </w:rPr>
          <w:t>4.1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Všeobecně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_Toc167184030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4</w:t>
        </w:r>
        <w:r w:rsidR="008F6197">
          <w:rPr>
            <w:noProof/>
            <w:webHidden/>
          </w:rPr>
          <w:fldChar w:fldCharType="end"/>
        </w:r>
      </w:hyperlink>
    </w:p>
    <w:p w14:paraId="3E02AD96" w14:textId="28D7F7CD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1" w:history="1">
        <w:r w:rsidR="008F6197" w:rsidRPr="00A31F09">
          <w:rPr>
            <w:rStyle w:val="Hypertextovodkaz"/>
            <w:rFonts w:asciiTheme="majorHAnsi" w:hAnsiTheme="majorHAnsi"/>
          </w:rPr>
          <w:t>4.2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Zeměměřická činnost zhotovitele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_Toc167184031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5</w:t>
        </w:r>
        <w:r w:rsidR="008F6197">
          <w:rPr>
            <w:noProof/>
            <w:webHidden/>
          </w:rPr>
          <w:fldChar w:fldCharType="end"/>
        </w:r>
      </w:hyperlink>
    </w:p>
    <w:p w14:paraId="07CA2CE3" w14:textId="39DBB1E5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2" w:history="1">
        <w:r w:rsidR="008F6197" w:rsidRPr="00A31F09">
          <w:rPr>
            <w:rStyle w:val="Hypertextovodkaz"/>
            <w:rFonts w:asciiTheme="majorHAnsi" w:hAnsiTheme="majorHAnsi"/>
          </w:rPr>
          <w:t>4.3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Doklady předkládané zhotovitelem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_Toc167184032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5</w:t>
        </w:r>
        <w:r w:rsidR="008F6197">
          <w:rPr>
            <w:noProof/>
            <w:webHidden/>
          </w:rPr>
          <w:fldChar w:fldCharType="end"/>
        </w:r>
      </w:hyperlink>
    </w:p>
    <w:p w14:paraId="7228A853" w14:textId="29C92A73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3" w:history="1">
        <w:r w:rsidR="008F6197" w:rsidRPr="00A31F09">
          <w:rPr>
            <w:rStyle w:val="Hypertextovodkaz"/>
            <w:rFonts w:asciiTheme="majorHAnsi" w:hAnsiTheme="majorHAnsi"/>
          </w:rPr>
          <w:t>4.4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Dokumentace zhotovitele pro stavbu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_Toc167184033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5</w:t>
        </w:r>
        <w:r w:rsidR="008F6197">
          <w:rPr>
            <w:noProof/>
            <w:webHidden/>
          </w:rPr>
          <w:fldChar w:fldCharType="end"/>
        </w:r>
      </w:hyperlink>
    </w:p>
    <w:p w14:paraId="1CCE6A45" w14:textId="11E27F94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4" w:history="1">
        <w:r w:rsidR="008F6197" w:rsidRPr="00A31F09">
          <w:rPr>
            <w:rStyle w:val="Hypertextovodkaz"/>
            <w:rFonts w:asciiTheme="majorHAnsi" w:hAnsiTheme="majorHAnsi"/>
          </w:rPr>
          <w:t>4.5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Dokumentace skutečného provedení stavby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_Toc167184034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5</w:t>
        </w:r>
        <w:r w:rsidR="008F6197">
          <w:rPr>
            <w:noProof/>
            <w:webHidden/>
          </w:rPr>
          <w:fldChar w:fldCharType="end"/>
        </w:r>
      </w:hyperlink>
    </w:p>
    <w:p w14:paraId="35CFA51F" w14:textId="288F86E3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5" w:history="1">
        <w:r w:rsidR="008F6197" w:rsidRPr="00A31F09">
          <w:rPr>
            <w:rStyle w:val="Hypertextovodkaz"/>
            <w:rFonts w:asciiTheme="majorHAnsi" w:hAnsiTheme="majorHAnsi"/>
          </w:rPr>
          <w:t>4.6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Silnoproudá technologie včetně DŘT, trakční a energetická zařízení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_Toc167184035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5</w:t>
        </w:r>
        <w:r w:rsidR="008F6197">
          <w:rPr>
            <w:noProof/>
            <w:webHidden/>
          </w:rPr>
          <w:fldChar w:fldCharType="end"/>
        </w:r>
      </w:hyperlink>
    </w:p>
    <w:p w14:paraId="79FE57BF" w14:textId="34674F69" w:rsidR="008F6197" w:rsidRDefault="003B0B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4036" w:history="1">
        <w:r w:rsidR="008F6197" w:rsidRPr="00A31F09">
          <w:rPr>
            <w:rStyle w:val="Hypertextovodkaz"/>
            <w:rFonts w:asciiTheme="majorHAnsi" w:hAnsiTheme="majorHAnsi"/>
          </w:rPr>
          <w:t>4.7</w:t>
        </w:r>
        <w:r w:rsidR="008F619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Životní prostředí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_Toc167184036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6</w:t>
        </w:r>
        <w:r w:rsidR="008F6197">
          <w:rPr>
            <w:noProof/>
            <w:webHidden/>
          </w:rPr>
          <w:fldChar w:fldCharType="end"/>
        </w:r>
      </w:hyperlink>
    </w:p>
    <w:p w14:paraId="2D793126" w14:textId="0E453BAC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37" w:history="1">
        <w:r w:rsidR="008F6197" w:rsidRPr="00A31F09">
          <w:rPr>
            <w:rStyle w:val="Hypertextovodkaz"/>
          </w:rPr>
          <w:t>5.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ORGANIZACE VÝSTAVBY, VÝLUKY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_Toc167184037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7</w:t>
        </w:r>
        <w:r w:rsidR="008F6197">
          <w:rPr>
            <w:noProof/>
            <w:webHidden/>
          </w:rPr>
          <w:fldChar w:fldCharType="end"/>
        </w:r>
      </w:hyperlink>
    </w:p>
    <w:p w14:paraId="1D5F54E6" w14:textId="02570AB3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38" w:history="1">
        <w:r w:rsidR="008F6197" w:rsidRPr="00A31F09">
          <w:rPr>
            <w:rStyle w:val="Hypertextovodkaz"/>
          </w:rPr>
          <w:t>6.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SOUVISEJÍCÍ DOKUMENTY A PŘEDPISY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_Toc167184038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7</w:t>
        </w:r>
        <w:r w:rsidR="008F6197">
          <w:rPr>
            <w:noProof/>
            <w:webHidden/>
          </w:rPr>
          <w:fldChar w:fldCharType="end"/>
        </w:r>
      </w:hyperlink>
    </w:p>
    <w:p w14:paraId="6D48CA14" w14:textId="66EA5996" w:rsidR="008F6197" w:rsidRDefault="003B0B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4039" w:history="1">
        <w:r w:rsidR="008F6197" w:rsidRPr="00A31F09">
          <w:rPr>
            <w:rStyle w:val="Hypertextovodkaz"/>
          </w:rPr>
          <w:t>7.</w:t>
        </w:r>
        <w:r w:rsidR="008F619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6197" w:rsidRPr="00A31F09">
          <w:rPr>
            <w:rStyle w:val="Hypertextovodkaz"/>
          </w:rPr>
          <w:t>PŘÍLOHY</w:t>
        </w:r>
        <w:r w:rsidR="008F6197">
          <w:rPr>
            <w:noProof/>
            <w:webHidden/>
          </w:rPr>
          <w:tab/>
        </w:r>
        <w:r w:rsidR="008F6197">
          <w:rPr>
            <w:noProof/>
            <w:webHidden/>
          </w:rPr>
          <w:fldChar w:fldCharType="begin"/>
        </w:r>
        <w:r w:rsidR="008F6197">
          <w:rPr>
            <w:noProof/>
            <w:webHidden/>
          </w:rPr>
          <w:instrText xml:space="preserve"> PAGEREF _Toc167184039 \h </w:instrText>
        </w:r>
        <w:r w:rsidR="008F6197">
          <w:rPr>
            <w:noProof/>
            <w:webHidden/>
          </w:rPr>
        </w:r>
        <w:r w:rsidR="008F6197">
          <w:rPr>
            <w:noProof/>
            <w:webHidden/>
          </w:rPr>
          <w:fldChar w:fldCharType="separate"/>
        </w:r>
        <w:r w:rsidR="00575274">
          <w:rPr>
            <w:noProof/>
            <w:webHidden/>
          </w:rPr>
          <w:t>7</w:t>
        </w:r>
        <w:r w:rsidR="008F6197">
          <w:rPr>
            <w:noProof/>
            <w:webHidden/>
          </w:rPr>
          <w:fldChar w:fldCharType="end"/>
        </w:r>
      </w:hyperlink>
    </w:p>
    <w:p w14:paraId="4D30571B" w14:textId="5457BF53" w:rsidR="00AD0C7B" w:rsidRDefault="00BD7E91" w:rsidP="008D03B9">
      <w:r>
        <w:fldChar w:fldCharType="end"/>
      </w:r>
    </w:p>
    <w:p w14:paraId="528A7542" w14:textId="77777777" w:rsidR="00AD0C7B" w:rsidRDefault="00AD0C7B" w:rsidP="00DA1C67">
      <w:pPr>
        <w:pStyle w:val="Nadpisbezsl1-1"/>
        <w:outlineLvl w:val="0"/>
      </w:pPr>
      <w:bookmarkStart w:id="0" w:name="_Toc16718402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4C145A3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456A402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993DD5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5D007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3823C10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2B3CE9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CC77FB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5381516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B047FC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67BB7" w14:textId="77777777" w:rsidR="00AB78C1" w:rsidRDefault="00AB6BE0" w:rsidP="000F15F1">
            <w:pPr>
              <w:pStyle w:val="Zkratky2"/>
            </w:pPr>
            <w:r>
              <w:t xml:space="preserve">Nový stavební zákon - zákon č. 283/2021 Sb., stavební zákon, ve znění účinném </w:t>
            </w:r>
          </w:p>
          <w:p w14:paraId="68850E45" w14:textId="77777777" w:rsidR="00AB78C1" w:rsidRPr="006115D3" w:rsidRDefault="00AB6BE0" w:rsidP="000F15F1">
            <w:pPr>
              <w:pStyle w:val="Zkratky2"/>
            </w:pPr>
            <w:r>
              <w:t>od 1. 1. 2024</w:t>
            </w:r>
          </w:p>
        </w:tc>
      </w:tr>
      <w:tr w:rsidR="00AB78C1" w:rsidRPr="00AD0C7B" w14:paraId="160CBA8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1C71D9" w14:textId="77777777" w:rsidR="00AB78C1" w:rsidRDefault="006D3862" w:rsidP="00AD0C7B">
            <w:pPr>
              <w:pStyle w:val="Zkratky1"/>
            </w:pPr>
            <w:r>
              <w:t>BEMU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4869BA" w14:textId="77777777" w:rsidR="00AB78C1" w:rsidRDefault="006D3862" w:rsidP="000F15F1">
            <w:pPr>
              <w:pStyle w:val="Zkratky2"/>
            </w:pPr>
            <w:proofErr w:type="spellStart"/>
            <w:r w:rsidRPr="006D3862">
              <w:t>Battery</w:t>
            </w:r>
            <w:proofErr w:type="spellEnd"/>
            <w:r w:rsidRPr="006D3862">
              <w:t xml:space="preserve"> </w:t>
            </w:r>
            <w:proofErr w:type="spellStart"/>
            <w:r w:rsidRPr="006D3862">
              <w:t>electric</w:t>
            </w:r>
            <w:proofErr w:type="spellEnd"/>
            <w:r w:rsidRPr="006D3862">
              <w:t xml:space="preserve"> </w:t>
            </w:r>
            <w:proofErr w:type="spellStart"/>
            <w:r w:rsidRPr="006D3862">
              <w:t>multiple</w:t>
            </w:r>
            <w:proofErr w:type="spellEnd"/>
            <w:r w:rsidRPr="006D3862">
              <w:t xml:space="preserve"> unit = bateriová elektrická jednotka</w:t>
            </w:r>
          </w:p>
        </w:tc>
      </w:tr>
      <w:tr w:rsidR="00AD0C7B" w:rsidRPr="00AD0C7B" w14:paraId="62F08A8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C51C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B990B0" w14:textId="77777777" w:rsidR="00AD0C7B" w:rsidRPr="006115D3" w:rsidRDefault="00AD0C7B" w:rsidP="000F15F1">
            <w:pPr>
              <w:pStyle w:val="Zkratky2"/>
            </w:pPr>
          </w:p>
        </w:tc>
      </w:tr>
    </w:tbl>
    <w:p w14:paraId="40FF3323" w14:textId="77777777" w:rsidR="00041EC8" w:rsidRDefault="00041EC8" w:rsidP="00AD0C7B"/>
    <w:p w14:paraId="1959943E" w14:textId="77777777" w:rsidR="00826B7B" w:rsidRDefault="00826B7B">
      <w:r>
        <w:br w:type="page"/>
      </w:r>
    </w:p>
    <w:p w14:paraId="1C98CFCA" w14:textId="77777777" w:rsidR="00DF7BAA" w:rsidRDefault="00DF7BAA" w:rsidP="00DF7BAA">
      <w:pPr>
        <w:pStyle w:val="Nadpis2-1"/>
      </w:pPr>
      <w:bookmarkStart w:id="2" w:name="_Toc6410429"/>
      <w:bookmarkStart w:id="3" w:name="_Toc16718402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2D6833E1" w14:textId="77777777" w:rsidR="00DF7BAA" w:rsidRDefault="00DF7BAA" w:rsidP="00DF7BAA">
      <w:pPr>
        <w:pStyle w:val="Nadpis2-2"/>
      </w:pPr>
      <w:bookmarkStart w:id="9" w:name="_Toc6410430"/>
      <w:bookmarkStart w:id="10" w:name="_Toc167184023"/>
      <w:r>
        <w:t>Účel a rozsah předmětu Díla</w:t>
      </w:r>
      <w:bookmarkEnd w:id="9"/>
      <w:bookmarkEnd w:id="10"/>
    </w:p>
    <w:p w14:paraId="119AFAC2" w14:textId="772A504F" w:rsidR="00DF7BAA" w:rsidRDefault="00DF7BAA" w:rsidP="0056409C">
      <w:pPr>
        <w:pStyle w:val="Text2-1"/>
      </w:pPr>
      <w:r>
        <w:t xml:space="preserve">Předmětem díla je zhotovení </w:t>
      </w:r>
      <w:r w:rsidR="00DA78FB">
        <w:t xml:space="preserve">souboru </w:t>
      </w:r>
      <w:r>
        <w:t>stav</w:t>
      </w:r>
      <w:r w:rsidR="00DA78FB">
        <w:t>e</w:t>
      </w:r>
      <w:r>
        <w:t>b</w:t>
      </w:r>
      <w:r w:rsidR="00DA78FB">
        <w:t xml:space="preserve">: </w:t>
      </w:r>
      <w:r w:rsidR="00BA6534" w:rsidRPr="002D5535">
        <w:rPr>
          <w:rStyle w:val="Nadpisvtabulce"/>
          <w:b w:val="0"/>
        </w:rPr>
        <w:t>„</w:t>
      </w:r>
      <w:r w:rsidR="00880744" w:rsidRPr="00E1239D">
        <w:rPr>
          <w:rStyle w:val="Nadpisvtabulce"/>
        </w:rPr>
        <w:t>Zřízení dobíjecí stanice BEMU v žst. Štramberk</w:t>
      </w:r>
      <w:r w:rsidR="002D5535" w:rsidRPr="002D5535">
        <w:rPr>
          <w:rStyle w:val="Nadpisvtabulce"/>
          <w:b w:val="0"/>
        </w:rPr>
        <w:t>“</w:t>
      </w:r>
      <w:r w:rsidR="00575274">
        <w:rPr>
          <w:rStyle w:val="Nadpisvtabulce"/>
          <w:b w:val="0"/>
        </w:rPr>
        <w:t xml:space="preserve"> </w:t>
      </w:r>
      <w:r w:rsidR="00575274" w:rsidRPr="00CD54FF">
        <w:t>(dále jen „</w:t>
      </w:r>
      <w:r w:rsidR="00575274" w:rsidRPr="00E1239D">
        <w:rPr>
          <w:b/>
        </w:rPr>
        <w:t>Stavba 1</w:t>
      </w:r>
      <w:r w:rsidR="00575274" w:rsidRPr="00CD54FF">
        <w:t>“)</w:t>
      </w:r>
      <w:r w:rsidR="002D5535" w:rsidRPr="002D5535">
        <w:rPr>
          <w:rStyle w:val="Nadpisvtabulce"/>
          <w:b w:val="0"/>
        </w:rPr>
        <w:t>,</w:t>
      </w:r>
      <w:r w:rsidR="000224E5" w:rsidRPr="002D5535">
        <w:rPr>
          <w:rStyle w:val="Nadpisvtabulce"/>
          <w:b w:val="0"/>
        </w:rPr>
        <w:t xml:space="preserve"> </w:t>
      </w:r>
      <w:r w:rsidR="002D5535" w:rsidRPr="002D5535">
        <w:rPr>
          <w:rStyle w:val="Nadpisvtabulce"/>
          <w:b w:val="0"/>
        </w:rPr>
        <w:t>„</w:t>
      </w:r>
      <w:r w:rsidR="00CC10D3" w:rsidRPr="00E1239D">
        <w:rPr>
          <w:rStyle w:val="Nadpisvtabulce"/>
        </w:rPr>
        <w:t xml:space="preserve">Zřízení dobíjecí stanice BEMU v žst. </w:t>
      </w:r>
      <w:r w:rsidR="000224E5" w:rsidRPr="00E1239D">
        <w:rPr>
          <w:rStyle w:val="Nadpisvtabulce"/>
        </w:rPr>
        <w:t>Krnov</w:t>
      </w:r>
      <w:r w:rsidR="002D5535" w:rsidRPr="002D5535">
        <w:rPr>
          <w:bCs/>
          <w:color w:val="000000"/>
        </w:rPr>
        <w:t>“</w:t>
      </w:r>
      <w:r w:rsidR="00575274">
        <w:rPr>
          <w:bCs/>
          <w:color w:val="000000"/>
        </w:rPr>
        <w:t xml:space="preserve"> </w:t>
      </w:r>
      <w:r w:rsidR="00575274" w:rsidRPr="00CD54FF">
        <w:t>(dále jen „</w:t>
      </w:r>
      <w:r w:rsidR="00575274" w:rsidRPr="00E1239D">
        <w:rPr>
          <w:b/>
        </w:rPr>
        <w:t xml:space="preserve">Stavba </w:t>
      </w:r>
      <w:r w:rsidR="004F527A" w:rsidRPr="00E1239D">
        <w:rPr>
          <w:b/>
        </w:rPr>
        <w:t>2</w:t>
      </w:r>
      <w:r w:rsidR="00575274" w:rsidRPr="00CD54FF">
        <w:t>“)</w:t>
      </w:r>
      <w:r w:rsidR="002D5535" w:rsidRPr="002D5535">
        <w:rPr>
          <w:bCs/>
          <w:color w:val="000000"/>
        </w:rPr>
        <w:t xml:space="preserve">, </w:t>
      </w:r>
      <w:r w:rsidR="002D5535" w:rsidRPr="002D5535">
        <w:rPr>
          <w:rStyle w:val="Nadpisvtabulce"/>
          <w:b w:val="0"/>
        </w:rPr>
        <w:t>„</w:t>
      </w:r>
      <w:r w:rsidR="002D5535" w:rsidRPr="00E1239D">
        <w:rPr>
          <w:rStyle w:val="Nadpisvtabulce"/>
        </w:rPr>
        <w:t>Zřízení dobíjecí stanice BEMU v žst. Budišov nad Budišovkou</w:t>
      </w:r>
      <w:r w:rsidR="002D5535" w:rsidRPr="002D5535">
        <w:rPr>
          <w:bCs/>
          <w:color w:val="000000"/>
        </w:rPr>
        <w:t>“</w:t>
      </w:r>
      <w:r w:rsidR="004F527A" w:rsidRPr="004F527A">
        <w:t xml:space="preserve"> </w:t>
      </w:r>
      <w:r w:rsidR="004F527A" w:rsidRPr="00CD54FF">
        <w:t>(dále jen „</w:t>
      </w:r>
      <w:r w:rsidR="004F527A" w:rsidRPr="00E1239D">
        <w:rPr>
          <w:b/>
        </w:rPr>
        <w:t>Stavba 3</w:t>
      </w:r>
      <w:r w:rsidR="004F527A" w:rsidRPr="00CD54FF">
        <w:t>“)</w:t>
      </w:r>
      <w:r w:rsidR="00CD54FF">
        <w:rPr>
          <w:bCs/>
          <w:color w:val="000000"/>
        </w:rPr>
        <w:t>,</w:t>
      </w:r>
      <w:r w:rsidR="00DA78FB">
        <w:rPr>
          <w:bCs/>
          <w:color w:val="000000"/>
        </w:rPr>
        <w:t xml:space="preserve"> </w:t>
      </w:r>
      <w:r w:rsidR="002D5535" w:rsidRPr="002D5535">
        <w:rPr>
          <w:bCs/>
          <w:color w:val="000000"/>
        </w:rPr>
        <w:t xml:space="preserve">1. část </w:t>
      </w:r>
      <w:r w:rsidR="00DA78FB">
        <w:rPr>
          <w:bCs/>
          <w:color w:val="000000"/>
        </w:rPr>
        <w:t>–</w:t>
      </w:r>
      <w:r w:rsidR="002D5535" w:rsidRPr="002D5535">
        <w:rPr>
          <w:bCs/>
          <w:color w:val="000000"/>
        </w:rPr>
        <w:t xml:space="preserve"> dodání a instalace technologie ke zřízení dobíjecí stanice BEMU,</w:t>
      </w:r>
      <w:r>
        <w:t xml:space="preserve"> jejímž cílem je </w:t>
      </w:r>
      <w:r w:rsidR="00CC10D3">
        <w:t xml:space="preserve">stavba </w:t>
      </w:r>
      <w:r w:rsidR="006968AA">
        <w:t xml:space="preserve">dobíjecí stanice </w:t>
      </w:r>
      <w:r w:rsidR="005E63E0">
        <w:t xml:space="preserve">pro </w:t>
      </w:r>
      <w:r w:rsidR="006968AA">
        <w:t>BEMU v žst. Štramberk</w:t>
      </w:r>
      <w:r w:rsidR="00DA78FB">
        <w:t>,</w:t>
      </w:r>
      <w:r w:rsidR="006968AA">
        <w:t xml:space="preserve"> Krnov</w:t>
      </w:r>
      <w:r w:rsidR="0098320D">
        <w:t xml:space="preserve"> </w:t>
      </w:r>
      <w:r w:rsidR="00DA78FB">
        <w:t xml:space="preserve">a </w:t>
      </w:r>
      <w:r w:rsidR="00DA78FB" w:rsidRPr="00DA78FB">
        <w:t>v žst. Budišov nad Budišovkou</w:t>
      </w:r>
      <w:r w:rsidR="00DA78FB">
        <w:t>,</w:t>
      </w:r>
      <w:r w:rsidR="00DA78FB" w:rsidRPr="00DA78FB">
        <w:t xml:space="preserve"> </w:t>
      </w:r>
      <w:r w:rsidR="0098320D">
        <w:t>včetně dodání kontejnerové technologie</w:t>
      </w:r>
      <w:r>
        <w:t>.</w:t>
      </w:r>
    </w:p>
    <w:p w14:paraId="0192AAEA" w14:textId="0DC5FD0C" w:rsidR="00DF7BAA" w:rsidRPr="00DB4332" w:rsidRDefault="00DF7BAA" w:rsidP="00CD54FF">
      <w:pPr>
        <w:pStyle w:val="Text2-1"/>
      </w:pPr>
      <w:r w:rsidRPr="00DB4332">
        <w:t xml:space="preserve">Rozsah </w:t>
      </w:r>
      <w:r w:rsidR="00CD54FF">
        <w:t xml:space="preserve">jednotlivých staveb: </w:t>
      </w:r>
      <w:r w:rsidR="0056409C" w:rsidRPr="00CD54FF">
        <w:t>„Stavba 1“</w:t>
      </w:r>
      <w:r w:rsidR="002D5535" w:rsidRPr="002D5535">
        <w:rPr>
          <w:rStyle w:val="Nadpisvtabulce"/>
          <w:b w:val="0"/>
        </w:rPr>
        <w:t xml:space="preserve">, </w:t>
      </w:r>
      <w:r w:rsidR="0056409C" w:rsidRPr="00CD54FF">
        <w:t>„Stavba 2“</w:t>
      </w:r>
      <w:r w:rsidR="004F527A">
        <w:t xml:space="preserve"> a </w:t>
      </w:r>
      <w:r w:rsidR="0056409C" w:rsidRPr="00CD54FF">
        <w:t>„Stavba 3“</w:t>
      </w:r>
      <w:r w:rsidR="002D5535">
        <w:rPr>
          <w:bCs/>
          <w:color w:val="000000"/>
        </w:rPr>
        <w:t>,</w:t>
      </w:r>
      <w:r w:rsidR="0098320D">
        <w:t xml:space="preserve"> </w:t>
      </w:r>
      <w:r w:rsidRPr="00DB4332">
        <w:t>je</w:t>
      </w:r>
      <w:r w:rsidR="00AC678D">
        <w:t>:</w:t>
      </w:r>
    </w:p>
    <w:p w14:paraId="22C3D529" w14:textId="5C523200" w:rsidR="00B17FCD" w:rsidRDefault="00B17FCD" w:rsidP="00B17FCD">
      <w:pPr>
        <w:pStyle w:val="Odrka1-1"/>
      </w:pPr>
      <w:r w:rsidRPr="00B17FCD">
        <w:t>zpracování Realizační dokumentace stavby,</w:t>
      </w:r>
    </w:p>
    <w:p w14:paraId="58551525" w14:textId="123B6498" w:rsidR="0056409C" w:rsidRDefault="0056409C" w:rsidP="0056409C">
      <w:pPr>
        <w:pStyle w:val="Odrka1-1"/>
      </w:pPr>
      <w:r w:rsidRPr="0056409C">
        <w:t>zhotovení stavby dle zadávací dokumentace</w:t>
      </w:r>
      <w:r>
        <w:t>,</w:t>
      </w:r>
    </w:p>
    <w:p w14:paraId="0B8EDBF6" w14:textId="2307B30F" w:rsidR="00AC5BC0" w:rsidRDefault="00AC5BC0" w:rsidP="0056409C">
      <w:pPr>
        <w:pStyle w:val="Odrka1-1"/>
      </w:pPr>
      <w:r>
        <w:t>vypracování Dokumentace skutečného provedení stavby včetně geodetické části.</w:t>
      </w:r>
    </w:p>
    <w:p w14:paraId="4AD7CC37" w14:textId="77777777" w:rsidR="00E1239D" w:rsidRPr="009144A2" w:rsidRDefault="00E1239D" w:rsidP="00E1239D">
      <w:pPr>
        <w:pStyle w:val="Text2-1"/>
      </w:pPr>
      <w:bookmarkStart w:id="11" w:name="_Toc6410431"/>
      <w:bookmarkStart w:id="12" w:name="_Toc167184024"/>
      <w:r>
        <w:t>Evidence, vedení stavby a f</w:t>
      </w:r>
      <w:r w:rsidRPr="009144A2">
        <w:t xml:space="preserve">akturace </w:t>
      </w:r>
      <w:r w:rsidRPr="009E6AF6">
        <w:t>bude</w:t>
      </w:r>
      <w:r>
        <w:t xml:space="preserve"> </w:t>
      </w:r>
      <w:r w:rsidRPr="009144A2">
        <w:t>pro každou stavbu probíhat samostatně.</w:t>
      </w:r>
    </w:p>
    <w:p w14:paraId="4B550D57" w14:textId="77777777" w:rsidR="00DF7BAA" w:rsidRDefault="00DF7BAA" w:rsidP="00DF7BAA">
      <w:pPr>
        <w:pStyle w:val="Nadpis2-2"/>
      </w:pPr>
      <w:r>
        <w:t>Umístění stavby</w:t>
      </w:r>
      <w:bookmarkEnd w:id="11"/>
      <w:bookmarkEnd w:id="12"/>
    </w:p>
    <w:p w14:paraId="18EDA464" w14:textId="0EB5219C" w:rsidR="00DF7BAA" w:rsidRDefault="00D62547" w:rsidP="00DF7BAA">
      <w:pPr>
        <w:pStyle w:val="Text2-1"/>
      </w:pPr>
      <w:r>
        <w:t>Stavba bude prob</w:t>
      </w:r>
      <w:r w:rsidR="0065086D">
        <w:t>íhat v žst. Štramberk</w:t>
      </w:r>
    </w:p>
    <w:p w14:paraId="6FC84560" w14:textId="77777777" w:rsidR="006972D4" w:rsidRDefault="006972D4" w:rsidP="006972D4">
      <w:pPr>
        <w:pStyle w:val="TabulkaNadpis"/>
      </w:pPr>
      <w:r>
        <w:t>Údaje o stavbě</w:t>
      </w:r>
      <w:r w:rsidR="00D62547">
        <w:t xml:space="preserve"> v žst. Štramberk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4A1EF2D4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11A64CA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1C998F66" w14:textId="77777777" w:rsidR="006972D4" w:rsidRPr="005A2CE9" w:rsidRDefault="00D62547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62547">
              <w:t>S622300296</w:t>
            </w:r>
          </w:p>
        </w:tc>
      </w:tr>
      <w:tr w:rsidR="006972D4" w:rsidRPr="005A2CE9" w14:paraId="521FF22D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0568064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318839D8" w14:textId="77777777" w:rsidR="006972D4" w:rsidRPr="005A2CE9" w:rsidRDefault="00D6254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Moravskoslezský</w:t>
            </w:r>
          </w:p>
        </w:tc>
      </w:tr>
      <w:tr w:rsidR="006972D4" w:rsidRPr="005A2CE9" w14:paraId="04AFF354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E9A98F7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7BEB15CA" w14:textId="77777777" w:rsidR="006972D4" w:rsidRPr="005A2CE9" w:rsidRDefault="00D6254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Nový Jičín</w:t>
            </w:r>
          </w:p>
        </w:tc>
      </w:tr>
      <w:tr w:rsidR="006972D4" w:rsidRPr="005A2CE9" w14:paraId="0E5798E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D168440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13DC87EF" w14:textId="77777777" w:rsidR="006972D4" w:rsidRPr="005A2CE9" w:rsidRDefault="00D6254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Štramberk</w:t>
            </w:r>
          </w:p>
        </w:tc>
      </w:tr>
      <w:tr w:rsidR="006972D4" w:rsidRPr="005A2CE9" w14:paraId="64764A0E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1913E17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4C07DB56" w14:textId="77777777" w:rsidR="006972D4" w:rsidRPr="005A2CE9" w:rsidRDefault="00D62547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OVA</w:t>
            </w:r>
          </w:p>
        </w:tc>
      </w:tr>
    </w:tbl>
    <w:p w14:paraId="2903F6CB" w14:textId="77777777" w:rsidR="006972D4" w:rsidRDefault="006972D4" w:rsidP="006972D4">
      <w:pPr>
        <w:pStyle w:val="TextbezslBEZMEZER"/>
      </w:pPr>
    </w:p>
    <w:p w14:paraId="770045EE" w14:textId="1688E289" w:rsidR="0065086D" w:rsidRDefault="0065086D" w:rsidP="0065086D">
      <w:pPr>
        <w:pStyle w:val="Text2-1"/>
        <w:numPr>
          <w:ilvl w:val="2"/>
          <w:numId w:val="6"/>
        </w:numPr>
      </w:pPr>
      <w:r>
        <w:t>Stavba bude probíhat v žst. Krnov</w:t>
      </w:r>
    </w:p>
    <w:p w14:paraId="102FAA8A" w14:textId="77777777" w:rsidR="00D62547" w:rsidRDefault="00D62547" w:rsidP="00D62547">
      <w:pPr>
        <w:pStyle w:val="TabulkaNadpis"/>
      </w:pPr>
      <w:r>
        <w:t>Údaje o stavbě v žst. Krnov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D62547" w:rsidRPr="005A2CE9" w14:paraId="60EA4220" w14:textId="77777777" w:rsidTr="000C6A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FAE27E2" w14:textId="77777777" w:rsidR="00D62547" w:rsidRPr="005A2CE9" w:rsidRDefault="00D62547" w:rsidP="000C6AD2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273CC1F9" w14:textId="77777777" w:rsidR="00D62547" w:rsidRPr="005A2CE9" w:rsidRDefault="00D62547" w:rsidP="000C6AD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62547">
              <w:t>S622300133</w:t>
            </w:r>
          </w:p>
        </w:tc>
      </w:tr>
      <w:tr w:rsidR="00D62547" w:rsidRPr="005A2CE9" w14:paraId="32866218" w14:textId="77777777" w:rsidTr="000C6A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5F7A935" w14:textId="77777777" w:rsidR="00D62547" w:rsidRPr="005A2CE9" w:rsidRDefault="00D62547" w:rsidP="000C6AD2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59231917" w14:textId="77777777" w:rsidR="00D62547" w:rsidRPr="005A2CE9" w:rsidRDefault="00D62547" w:rsidP="000C6AD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Moravskoslezský</w:t>
            </w:r>
          </w:p>
        </w:tc>
      </w:tr>
      <w:tr w:rsidR="00D62547" w:rsidRPr="005A2CE9" w14:paraId="6A85F402" w14:textId="77777777" w:rsidTr="000C6A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6E0B48" w14:textId="77777777" w:rsidR="00D62547" w:rsidRPr="005A2CE9" w:rsidRDefault="00D62547" w:rsidP="000C6AD2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60B3BDD1" w14:textId="77777777" w:rsidR="00D62547" w:rsidRPr="005A2CE9" w:rsidRDefault="00D62547" w:rsidP="000C6AD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Bruntál</w:t>
            </w:r>
          </w:p>
        </w:tc>
      </w:tr>
      <w:tr w:rsidR="00D62547" w:rsidRPr="005A2CE9" w14:paraId="65DE27FB" w14:textId="77777777" w:rsidTr="000C6A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FEEDEF3" w14:textId="77777777" w:rsidR="00D62547" w:rsidRPr="005A2CE9" w:rsidRDefault="00D62547" w:rsidP="000C6AD2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79EBCB2B" w14:textId="77777777" w:rsidR="00D62547" w:rsidRPr="005A2CE9" w:rsidRDefault="00D62547" w:rsidP="00D6254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Krnov</w:t>
            </w:r>
          </w:p>
        </w:tc>
      </w:tr>
      <w:tr w:rsidR="00D62547" w:rsidRPr="005A2CE9" w14:paraId="74AB79AF" w14:textId="77777777" w:rsidTr="000C6AD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6B0AFAA" w14:textId="77777777" w:rsidR="00D62547" w:rsidRPr="005A2CE9" w:rsidRDefault="00D62547" w:rsidP="000C6AD2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134FBA51" w14:textId="77777777" w:rsidR="00D62547" w:rsidRPr="005A2CE9" w:rsidRDefault="00D62547" w:rsidP="000C6AD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OVA</w:t>
            </w:r>
          </w:p>
        </w:tc>
      </w:tr>
    </w:tbl>
    <w:p w14:paraId="71681A9E" w14:textId="17C6ACB2" w:rsidR="00D62547" w:rsidRDefault="00D62547" w:rsidP="00D62547">
      <w:pPr>
        <w:pStyle w:val="TextbezslBEZMEZER"/>
      </w:pPr>
    </w:p>
    <w:p w14:paraId="029F9444" w14:textId="7E2ECEDB" w:rsidR="0065086D" w:rsidRDefault="0065086D" w:rsidP="0065086D">
      <w:pPr>
        <w:pStyle w:val="Text2-1"/>
        <w:numPr>
          <w:ilvl w:val="2"/>
          <w:numId w:val="6"/>
        </w:numPr>
      </w:pPr>
      <w:r>
        <w:t>Stavba bude probíhat v žst. Budišov nad Budišovkou</w:t>
      </w:r>
    </w:p>
    <w:p w14:paraId="2D39A94B" w14:textId="7F4BEDE6" w:rsidR="002D5535" w:rsidRDefault="002D5535" w:rsidP="002D5535">
      <w:pPr>
        <w:pStyle w:val="TabulkaNadpis"/>
      </w:pPr>
      <w:r>
        <w:t>Údaje o stavbě v žst. Budišov nad Budišovkou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2D5535" w:rsidRPr="005A2CE9" w14:paraId="2F969FB3" w14:textId="77777777" w:rsidTr="008B1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8208082" w14:textId="77777777" w:rsidR="002D5535" w:rsidRPr="005A2CE9" w:rsidRDefault="002D5535" w:rsidP="008B117C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31EEC209" w14:textId="4A73C19D" w:rsidR="002D5535" w:rsidRPr="005A2CE9" w:rsidRDefault="002D5535" w:rsidP="008B117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D5535">
              <w:t>S622300132</w:t>
            </w:r>
          </w:p>
        </w:tc>
      </w:tr>
      <w:tr w:rsidR="002D5535" w:rsidRPr="005A2CE9" w14:paraId="2B1468DA" w14:textId="77777777" w:rsidTr="008B1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07953FE" w14:textId="77777777" w:rsidR="002D5535" w:rsidRPr="005A2CE9" w:rsidRDefault="002D5535" w:rsidP="008B117C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0998196F" w14:textId="77777777" w:rsidR="002D5535" w:rsidRPr="00575472" w:rsidRDefault="002D5535" w:rsidP="008B117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5472">
              <w:t>Moravskoslezský</w:t>
            </w:r>
          </w:p>
        </w:tc>
      </w:tr>
      <w:tr w:rsidR="002D5535" w:rsidRPr="005A2CE9" w14:paraId="6E3A5454" w14:textId="77777777" w:rsidTr="008B1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9074F82" w14:textId="77777777" w:rsidR="002D5535" w:rsidRPr="005A2CE9" w:rsidRDefault="002D5535" w:rsidP="008B117C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3881FFAD" w14:textId="431B7F82" w:rsidR="002D5535" w:rsidRPr="00575472" w:rsidRDefault="00575472" w:rsidP="008B117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5472">
              <w:t>Opava</w:t>
            </w:r>
          </w:p>
        </w:tc>
      </w:tr>
      <w:tr w:rsidR="002D5535" w:rsidRPr="005A2CE9" w14:paraId="5000621F" w14:textId="77777777" w:rsidTr="008B1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EC21B77" w14:textId="77777777" w:rsidR="002D5535" w:rsidRPr="005A2CE9" w:rsidRDefault="002D5535" w:rsidP="008B117C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07A4954D" w14:textId="443A7C71" w:rsidR="002D5535" w:rsidRPr="00575472" w:rsidRDefault="00575472" w:rsidP="008B117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5472">
              <w:t>Budišov nad Budišovkou</w:t>
            </w:r>
          </w:p>
        </w:tc>
      </w:tr>
      <w:tr w:rsidR="002D5535" w:rsidRPr="005A2CE9" w14:paraId="0E5D45C9" w14:textId="77777777" w:rsidTr="008B11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9C10D1D" w14:textId="77777777" w:rsidR="002D5535" w:rsidRPr="005A2CE9" w:rsidRDefault="002D5535" w:rsidP="008B117C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3E20E0CF" w14:textId="77777777" w:rsidR="002D5535" w:rsidRPr="005A2CE9" w:rsidRDefault="002D5535" w:rsidP="008B117C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OVA</w:t>
            </w:r>
          </w:p>
        </w:tc>
      </w:tr>
    </w:tbl>
    <w:p w14:paraId="2B4AE8AB" w14:textId="77777777" w:rsidR="002D5535" w:rsidRDefault="002D5535" w:rsidP="002D5535">
      <w:pPr>
        <w:pStyle w:val="TextbezslBEZMEZER"/>
      </w:pPr>
    </w:p>
    <w:p w14:paraId="41D21CE7" w14:textId="77777777" w:rsidR="00DF7BAA" w:rsidRDefault="00DF7BAA" w:rsidP="00DF7BAA">
      <w:pPr>
        <w:pStyle w:val="Nadpis2-1"/>
      </w:pPr>
      <w:bookmarkStart w:id="13" w:name="_Toc6410432"/>
      <w:bookmarkStart w:id="14" w:name="_Toc167184025"/>
      <w:r>
        <w:t>PŘEHLED VÝCHOZÍCH PODKLADŮ</w:t>
      </w:r>
      <w:bookmarkEnd w:id="13"/>
      <w:bookmarkEnd w:id="14"/>
    </w:p>
    <w:p w14:paraId="34ABAD59" w14:textId="77777777" w:rsidR="00DF7BAA" w:rsidRDefault="00DF7BAA" w:rsidP="00DF7BAA">
      <w:pPr>
        <w:pStyle w:val="Nadpis2-2"/>
      </w:pPr>
      <w:bookmarkStart w:id="15" w:name="_Toc6410433"/>
      <w:bookmarkStart w:id="16" w:name="_Toc167184026"/>
      <w:r>
        <w:t>Projektová dokumentace</w:t>
      </w:r>
      <w:bookmarkEnd w:id="15"/>
      <w:bookmarkEnd w:id="16"/>
    </w:p>
    <w:p w14:paraId="2A785179" w14:textId="60A69A2C" w:rsidR="0065007D" w:rsidRDefault="00DF7BAA" w:rsidP="00A0022E">
      <w:pPr>
        <w:pStyle w:val="Text2-1"/>
      </w:pPr>
      <w:r>
        <w:t>Projektová dokumentace</w:t>
      </w:r>
      <w:r w:rsidR="0065007D">
        <w:t xml:space="preserve"> pro stavby:</w:t>
      </w:r>
    </w:p>
    <w:p w14:paraId="252FF4F1" w14:textId="77777777" w:rsidR="0065007D" w:rsidRDefault="00DF7BAA" w:rsidP="00E1239D">
      <w:pPr>
        <w:pStyle w:val="Odrka1-1"/>
      </w:pPr>
      <w:r>
        <w:t>„</w:t>
      </w:r>
      <w:r w:rsidR="00143633" w:rsidRPr="00863B48">
        <w:t>Zřízení dobíjecí stanice BEMU v žst. Štramberk</w:t>
      </w:r>
      <w:r>
        <w:t>“</w:t>
      </w:r>
      <w:r w:rsidR="00863B48">
        <w:t xml:space="preserve">, </w:t>
      </w:r>
    </w:p>
    <w:p w14:paraId="566E6AF8" w14:textId="72757FD8" w:rsidR="0065007D" w:rsidRDefault="00EF0D26" w:rsidP="00E1239D">
      <w:pPr>
        <w:pStyle w:val="Odrka1-1"/>
      </w:pPr>
      <w:r>
        <w:lastRenderedPageBreak/>
        <w:t>„</w:t>
      </w:r>
      <w:r w:rsidR="00143633" w:rsidRPr="00863B48">
        <w:t>Zřízení dobíjecí stanice BEMU v žst. Krnov</w:t>
      </w:r>
      <w:r>
        <w:t>“</w:t>
      </w:r>
      <w:r w:rsidR="00863B48" w:rsidRPr="00863B48">
        <w:t xml:space="preserve"> </w:t>
      </w:r>
      <w:r w:rsidR="00863B48">
        <w:t>a </w:t>
      </w:r>
    </w:p>
    <w:p w14:paraId="2A35B1EC" w14:textId="20B676F5" w:rsidR="0065007D" w:rsidRDefault="00863B48" w:rsidP="00E1239D">
      <w:pPr>
        <w:pStyle w:val="Odrka1-1"/>
      </w:pPr>
      <w:r>
        <w:t>„</w:t>
      </w:r>
      <w:r w:rsidRPr="00863B48">
        <w:t>Zřízení dobíjecí stanice BEMU v žst. Budišov nad Budišovkou</w:t>
      </w:r>
      <w:r>
        <w:t>“</w:t>
      </w:r>
      <w:r w:rsidR="00DF7BAA">
        <w:t xml:space="preserve">, </w:t>
      </w:r>
    </w:p>
    <w:p w14:paraId="192A01E7" w14:textId="243BEE67" w:rsidR="0065007D" w:rsidRDefault="00DF7BAA" w:rsidP="00E1239D">
      <w:pPr>
        <w:pStyle w:val="Textbezslovn"/>
      </w:pPr>
      <w:r w:rsidRPr="00B17FCD">
        <w:t xml:space="preserve">zpracovatel </w:t>
      </w:r>
      <w:r w:rsidR="00143633" w:rsidRPr="00B17FCD">
        <w:t>MORAVIA CONSULT Olomouc a.s.</w:t>
      </w:r>
      <w:r w:rsidRPr="00B17FCD">
        <w:t>,</w:t>
      </w:r>
      <w:r>
        <w:t xml:space="preserve"> datum</w:t>
      </w:r>
      <w:r w:rsidR="00143633">
        <w:t xml:space="preserve"> 05/2024.</w:t>
      </w:r>
      <w:r w:rsidR="00863B48">
        <w:t xml:space="preserve"> </w:t>
      </w:r>
    </w:p>
    <w:p w14:paraId="03714C34" w14:textId="58CBAFF4" w:rsidR="00BA2F47" w:rsidRDefault="00BA2F47" w:rsidP="00E1239D">
      <w:pPr>
        <w:pStyle w:val="Textbezslovn"/>
      </w:pPr>
      <w:r>
        <w:t>Zhotovitel po uzavření SOD obdrží elektronickou podobu Projektové dokumentace v otevřené formě.</w:t>
      </w:r>
    </w:p>
    <w:p w14:paraId="2C851858" w14:textId="77777777" w:rsidR="00DF7BAA" w:rsidRDefault="00DF7BAA" w:rsidP="00DF7BAA">
      <w:pPr>
        <w:pStyle w:val="Nadpis2-2"/>
      </w:pPr>
      <w:bookmarkStart w:id="17" w:name="_Toc6410434"/>
      <w:bookmarkStart w:id="18" w:name="_Toc167184027"/>
      <w:r>
        <w:t>Související dokumentace</w:t>
      </w:r>
      <w:bookmarkEnd w:id="17"/>
      <w:bookmarkEnd w:id="18"/>
    </w:p>
    <w:p w14:paraId="03A06150" w14:textId="2C1ABF3A" w:rsidR="000431E3" w:rsidRDefault="000431E3" w:rsidP="00DF7BAA">
      <w:pPr>
        <w:pStyle w:val="Text2-1"/>
      </w:pPr>
      <w:r>
        <w:t xml:space="preserve">Technická specifikace technologie trakční dobíjecí stanice pro BEMU, která je směrodatným podkladem pro dodávku a instalaci předmětné zakázky (viz </w:t>
      </w:r>
      <w:proofErr w:type="gramStart"/>
      <w:r>
        <w:t>příloha</w:t>
      </w:r>
      <w:r w:rsidR="00A6364C">
        <w:t xml:space="preserve"> </w:t>
      </w:r>
      <w:r w:rsidR="0022437C">
        <w:fldChar w:fldCharType="begin"/>
      </w:r>
      <w:r w:rsidR="0022437C">
        <w:instrText xml:space="preserve"> REF _Ref166503505 \r \h </w:instrText>
      </w:r>
      <w:r w:rsidR="0022437C">
        <w:fldChar w:fldCharType="separate"/>
      </w:r>
      <w:r w:rsidR="00575274">
        <w:t>7.1.1</w:t>
      </w:r>
      <w:proofErr w:type="gramEnd"/>
      <w:r w:rsidR="0022437C">
        <w:fldChar w:fldCharType="end"/>
      </w:r>
      <w:r w:rsidR="00A6364C">
        <w:t xml:space="preserve"> těchto ZTP</w:t>
      </w:r>
      <w:r>
        <w:t>).</w:t>
      </w:r>
    </w:p>
    <w:p w14:paraId="6F827BA1" w14:textId="03FAE6E9" w:rsidR="000648F6" w:rsidRPr="00892D2B" w:rsidRDefault="00BB645D" w:rsidP="00892D2B">
      <w:pPr>
        <w:pStyle w:val="Text2-1"/>
      </w:pPr>
      <w:r w:rsidRPr="00892D2B">
        <w:t>V</w:t>
      </w:r>
      <w:r w:rsidR="000648F6" w:rsidRPr="00892D2B">
        <w:t>ýjimka čj.: …………………… ze dne …………………………</w:t>
      </w:r>
      <w:r w:rsidR="00AD28D3" w:rsidRPr="00892D2B">
        <w:t xml:space="preserve"> </w:t>
      </w:r>
      <w:r>
        <w:t xml:space="preserve">(viz </w:t>
      </w:r>
      <w:proofErr w:type="gramStart"/>
      <w:r>
        <w:t xml:space="preserve">příloha </w:t>
      </w:r>
      <w:r>
        <w:fldChar w:fldCharType="begin"/>
      </w:r>
      <w:r>
        <w:instrText xml:space="preserve"> REF _Ref166503610 \r \h </w:instrText>
      </w:r>
      <w:r>
        <w:fldChar w:fldCharType="separate"/>
      </w:r>
      <w:r w:rsidR="00575274">
        <w:t>7.1.2</w:t>
      </w:r>
      <w:proofErr w:type="gramEnd"/>
      <w:r>
        <w:fldChar w:fldCharType="end"/>
      </w:r>
      <w:r>
        <w:t xml:space="preserve"> těchto ZTP)</w:t>
      </w:r>
      <w:r w:rsidRPr="00892D2B" w:rsidDel="00BB645D">
        <w:t xml:space="preserve"> </w:t>
      </w:r>
    </w:p>
    <w:p w14:paraId="7BCDB9F5" w14:textId="77777777" w:rsidR="00DF7BAA" w:rsidRDefault="00DF7BAA" w:rsidP="00DF7BAA">
      <w:pPr>
        <w:pStyle w:val="Nadpis2-1"/>
      </w:pPr>
      <w:bookmarkStart w:id="19" w:name="_Toc6410435"/>
      <w:bookmarkStart w:id="20" w:name="_Toc167184028"/>
      <w:r>
        <w:t>KOORDINACE S JINÝMI STAVBAMI</w:t>
      </w:r>
      <w:bookmarkEnd w:id="19"/>
      <w:bookmarkEnd w:id="20"/>
      <w:r>
        <w:t xml:space="preserve"> </w:t>
      </w:r>
    </w:p>
    <w:p w14:paraId="1E63F08E" w14:textId="77777777" w:rsidR="00DF7BAA" w:rsidRPr="000648F6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0648F6">
        <w:t xml:space="preserve">poskytování a rozsahu výluk, přidělení prostorů pro staveniště v jednotlivých žst. apod. </w:t>
      </w:r>
    </w:p>
    <w:p w14:paraId="3ED3E3B2" w14:textId="39BFB1C7" w:rsidR="002B696D" w:rsidRPr="002B696D" w:rsidRDefault="00DF7BAA" w:rsidP="00E1239D">
      <w:pPr>
        <w:pStyle w:val="Text2-1"/>
      </w:pPr>
      <w:r w:rsidRPr="000648F6">
        <w:t xml:space="preserve">Koordinace musí probíhat </w:t>
      </w:r>
      <w:r w:rsidR="004F527A">
        <w:t xml:space="preserve">mezi </w:t>
      </w:r>
      <w:r w:rsidRPr="000648F6">
        <w:t xml:space="preserve">uvedenými </w:t>
      </w:r>
      <w:r w:rsidR="0022437C">
        <w:t>stavbami: Stavbou 1, Stavbou 2 a Stavbou</w:t>
      </w:r>
      <w:r w:rsidR="004F527A">
        <w:t> </w:t>
      </w:r>
      <w:r w:rsidR="0022437C">
        <w:t>3.</w:t>
      </w:r>
    </w:p>
    <w:p w14:paraId="40CE9492" w14:textId="77777777" w:rsidR="00DF7BAA" w:rsidRDefault="00E70AB8" w:rsidP="00DF7BAA">
      <w:pPr>
        <w:pStyle w:val="Nadpis2-1"/>
      </w:pPr>
      <w:bookmarkStart w:id="21" w:name="_Toc6410436"/>
      <w:bookmarkStart w:id="22" w:name="_Toc167184029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50268E03" w14:textId="77777777" w:rsidR="00DF7BAA" w:rsidRDefault="00DF7BAA" w:rsidP="00DF7BAA">
      <w:pPr>
        <w:pStyle w:val="Nadpis2-2"/>
      </w:pPr>
      <w:bookmarkStart w:id="23" w:name="_Toc6410437"/>
      <w:bookmarkStart w:id="24" w:name="_Toc167184030"/>
      <w:r>
        <w:t>Všeobecně</w:t>
      </w:r>
      <w:bookmarkEnd w:id="23"/>
      <w:bookmarkEnd w:id="24"/>
    </w:p>
    <w:p w14:paraId="5C72AD0D" w14:textId="77777777" w:rsidR="0043532F" w:rsidRPr="00EC25B5" w:rsidRDefault="0043532F" w:rsidP="0043532F">
      <w:pPr>
        <w:pStyle w:val="Text2-1"/>
        <w:numPr>
          <w:ilvl w:val="2"/>
          <w:numId w:val="6"/>
        </w:numPr>
      </w:pPr>
      <w:r w:rsidRPr="00802EE1">
        <w:rPr>
          <w:rStyle w:val="Tun"/>
        </w:rPr>
        <w:t>Zhotovitel je povinen vést elektronický stavební deník</w:t>
      </w:r>
      <w:r w:rsidRPr="00802EE1">
        <w:t xml:space="preserve"> (dále jen "ESD") a 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</w:t>
      </w:r>
      <w:proofErr w:type="spellStart"/>
      <w:r w:rsidRPr="00802EE1">
        <w:t>Buildary.online</w:t>
      </w:r>
      <w:proofErr w:type="spellEnd"/>
      <w:r w:rsidRPr="00802EE1">
        <w:t xml:space="preserve"> - elektronický stavební deník“ (</w:t>
      </w:r>
      <w:r>
        <w:t xml:space="preserve">viz </w:t>
      </w:r>
      <w:r w:rsidRPr="00172C93">
        <w:t>https://www.buildary.online/cs/moduly/elektronicky-stavebni-denik</w:t>
      </w:r>
      <w:r w:rsidRPr="00802EE1">
        <w:t>). ESD se vede v českém jazyce. Objednatel poskytne zdarma Zhotoviteli před Datem zahájení prací maximálně 1</w:t>
      </w:r>
      <w:r>
        <w:t>0</w:t>
      </w:r>
      <w:r w:rsidRPr="00802EE1">
        <w:t xml:space="preserve"> </w:t>
      </w:r>
      <w:r w:rsidRPr="00EC25B5">
        <w:t xml:space="preserve">licenčních jednotek pro aplikaci </w:t>
      </w:r>
      <w:proofErr w:type="spellStart"/>
      <w:r w:rsidRPr="00EC25B5">
        <w:t>Buildary.online</w:t>
      </w:r>
      <w:proofErr w:type="spellEnd"/>
      <w:r w:rsidRPr="00EC25B5">
        <w:t xml:space="preserve"> pro vedení ESD</w:t>
      </w:r>
      <w:r>
        <w:t>,</w:t>
      </w:r>
      <w:r w:rsidRPr="00EC25B5">
        <w:t xml:space="preserve"> a to na</w:t>
      </w:r>
      <w:r>
        <w:t> </w:t>
      </w:r>
      <w:r w:rsidRPr="00EC25B5">
        <w:t>celou dobu povinnosti vést stavební deník dle § 1</w:t>
      </w:r>
      <w:r>
        <w:t>66</w:t>
      </w:r>
      <w:r w:rsidRPr="00EC25B5">
        <w:t xml:space="preserve"> zákona č. </w:t>
      </w:r>
      <w:r>
        <w:t>2</w:t>
      </w:r>
      <w:r w:rsidRPr="00EC25B5">
        <w:t>83/20</w:t>
      </w:r>
      <w:r>
        <w:t>21</w:t>
      </w:r>
      <w:r w:rsidRPr="00EC25B5">
        <w:t xml:space="preserve"> Sb. stavební zákon, v platném znění. </w:t>
      </w:r>
    </w:p>
    <w:p w14:paraId="7222F549" w14:textId="77777777" w:rsidR="001960FD" w:rsidRPr="000648F6" w:rsidRDefault="001960FD" w:rsidP="001960FD">
      <w:pPr>
        <w:pStyle w:val="Text2-1"/>
        <w:numPr>
          <w:ilvl w:val="2"/>
          <w:numId w:val="6"/>
        </w:numPr>
      </w:pPr>
      <w:r w:rsidRPr="000648F6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4228D673" w14:textId="77777777" w:rsidR="00C83FA2" w:rsidRPr="007B0D64" w:rsidRDefault="00C83FA2" w:rsidP="00C83FA2">
      <w:pPr>
        <w:pStyle w:val="Text2-1"/>
      </w:pPr>
      <w:r w:rsidRPr="007B0D64">
        <w:t>Zhotovitel provede ruční kopané sondy za účelem ověření skutečného vedení inženýrských sítí před z</w:t>
      </w:r>
      <w:r w:rsidR="00A873AD">
        <w:t>apočetím zemních prací strojmo, pokud budou zemní práce nutné, pro umístění kontejnerové techniky.</w:t>
      </w:r>
    </w:p>
    <w:p w14:paraId="33B7C708" w14:textId="77777777" w:rsidR="00C83FA2" w:rsidRPr="007B0D64" w:rsidRDefault="00C83FA2" w:rsidP="00C83FA2">
      <w:pPr>
        <w:pStyle w:val="Text2-1"/>
      </w:pPr>
      <w:r w:rsidRPr="007B0D64">
        <w:t>V rámci výkopových prací (zejména pro kabelovod) bude kladen zvýšený důraz na ruční výkopy. Strojní mechanizace se bude moc použít až po odhalení všech kabelových vedení.</w:t>
      </w:r>
    </w:p>
    <w:p w14:paraId="5A903DB3" w14:textId="07F086F6" w:rsidR="00A07F9F" w:rsidRPr="007B0D64" w:rsidRDefault="00C83FA2" w:rsidP="00A07F9F">
      <w:pPr>
        <w:pStyle w:val="Text2-1"/>
      </w:pPr>
      <w:r w:rsidRPr="007B0D64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4311DC4C" w14:textId="77777777" w:rsidR="00C83FA2" w:rsidRPr="007B0D64" w:rsidRDefault="00C83FA2" w:rsidP="00B75605">
      <w:pPr>
        <w:pStyle w:val="Text2-1"/>
      </w:pPr>
      <w:r w:rsidRPr="007B0D64">
        <w:t xml:space="preserve">Pro vyznačení všech stávajících, provizorních a nových kabelových tras Zhotovitel použije a bude pravidelně aktualizovat veřejně dostupnou mapovou mobilní aplikaci (např. </w:t>
      </w:r>
      <w:r w:rsidRPr="007B0D64">
        <w:lastRenderedPageBreak/>
        <w:t xml:space="preserve">Google </w:t>
      </w:r>
      <w:proofErr w:type="spellStart"/>
      <w:r w:rsidRPr="007B0D64">
        <w:t>Maps</w:t>
      </w:r>
      <w:proofErr w:type="spellEnd"/>
      <w:r w:rsidRPr="007B0D64">
        <w:t xml:space="preserve">, Mapy.cz), kterou bude mít každý </w:t>
      </w:r>
      <w:proofErr w:type="spellStart"/>
      <w:r w:rsidRPr="007B0D64">
        <w:t>podzhotovitel</w:t>
      </w:r>
      <w:proofErr w:type="spellEnd"/>
      <w:r w:rsidRPr="007B0D64">
        <w:t xml:space="preserve"> a T</w:t>
      </w:r>
      <w:r w:rsidR="00A861A2" w:rsidRPr="007B0D64">
        <w:t>D</w:t>
      </w:r>
      <w:r w:rsidRPr="007B0D64">
        <w:t>S v k dispozici. Cílem je vytvoření vrstev vedení kabelových tras v mapovém podkladu v</w:t>
      </w:r>
      <w:r w:rsidR="00407F22" w:rsidRPr="007B0D64">
        <w:t> </w:t>
      </w:r>
      <w:r w:rsidRPr="007B0D64">
        <w:t xml:space="preserve">běžně </w:t>
      </w:r>
      <w:r w:rsidR="00B75605" w:rsidRPr="007B0D64">
        <w:t>využívané aplikaci. Data pro import mohou být ve formátu *.KML a/nebo *.GPX.</w:t>
      </w:r>
    </w:p>
    <w:p w14:paraId="1F3D2BA0" w14:textId="77777777" w:rsidR="007A4FA9" w:rsidRDefault="007A4FA9" w:rsidP="00C83FA2">
      <w:pPr>
        <w:pStyle w:val="Text2-1"/>
      </w:pPr>
      <w:bookmarkStart w:id="25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5"/>
    </w:p>
    <w:p w14:paraId="08BF4EB4" w14:textId="09C70A88" w:rsidR="00AB6BE0" w:rsidRDefault="00AB6BE0" w:rsidP="0022437C">
      <w:pPr>
        <w:pStyle w:val="Text2-1"/>
      </w:pPr>
      <w:r>
        <w:t xml:space="preserve">V zadávací dokumentaci uváděný pojem „Autorský dozor“ se rozumí pojem Dozor projektanta podle NSZ. </w:t>
      </w:r>
      <w:r w:rsidR="0022437C" w:rsidRPr="0022437C">
        <w:t>Dozor projektanta je průběžný dozor zhotovitele dokumentace pro povolení záměru (DUSP/DUSL/DSP) nad souladem realizace dokumentace pro provádění záměru (PDPS) a dále průběžný dozor nad prováděním záměru (stavby) v</w:t>
      </w:r>
      <w:r w:rsidR="0043532F">
        <w:t> </w:t>
      </w:r>
      <w:r w:rsidR="0022437C" w:rsidRPr="0022437C">
        <w:t>souladu s dokumentací pro provedení záměru (PDPS včetně RDS).</w:t>
      </w:r>
    </w:p>
    <w:p w14:paraId="27028839" w14:textId="37EA05FB" w:rsidR="007E6E2D" w:rsidRDefault="007E6E2D" w:rsidP="002164E4">
      <w:pPr>
        <w:pStyle w:val="Text2-1"/>
      </w:pPr>
      <w:r>
        <w:t xml:space="preserve">Požadavky na </w:t>
      </w:r>
      <w:r w:rsidR="002164E4">
        <w:t xml:space="preserve">technologii dobíjecí stanice je uvedena </w:t>
      </w:r>
      <w:r w:rsidR="002164E4" w:rsidRPr="002164E4">
        <w:t>Technick</w:t>
      </w:r>
      <w:r w:rsidR="002164E4">
        <w:t>é</w:t>
      </w:r>
      <w:r w:rsidR="002164E4" w:rsidRPr="002164E4">
        <w:t xml:space="preserve"> specifikac</w:t>
      </w:r>
      <w:r w:rsidR="002164E4">
        <w:t>i</w:t>
      </w:r>
      <w:r w:rsidR="002164E4" w:rsidRPr="002164E4">
        <w:t xml:space="preserve"> technologie trakční dobíjecí stanice pro BEMU (viz </w:t>
      </w:r>
      <w:proofErr w:type="gramStart"/>
      <w:r w:rsidR="002164E4" w:rsidRPr="002164E4">
        <w:t xml:space="preserve">příloha </w:t>
      </w:r>
      <w:r w:rsidR="0022437C">
        <w:fldChar w:fldCharType="begin"/>
      </w:r>
      <w:r w:rsidR="0022437C">
        <w:instrText xml:space="preserve"> REF _Ref166503505 \r \h </w:instrText>
      </w:r>
      <w:r w:rsidR="0022437C">
        <w:fldChar w:fldCharType="separate"/>
      </w:r>
      <w:r w:rsidR="00575274">
        <w:t>7.1.1</w:t>
      </w:r>
      <w:proofErr w:type="gramEnd"/>
      <w:r w:rsidR="0022437C">
        <w:fldChar w:fldCharType="end"/>
      </w:r>
      <w:r w:rsidR="002164E4" w:rsidRPr="002164E4">
        <w:t xml:space="preserve"> těchto ZTP).</w:t>
      </w:r>
    </w:p>
    <w:p w14:paraId="2E3AFDFF" w14:textId="04E86F28" w:rsidR="00F71ED6" w:rsidRPr="00175762" w:rsidRDefault="00F71ED6" w:rsidP="00AB6BE0">
      <w:pPr>
        <w:pStyle w:val="Text2-1"/>
      </w:pPr>
      <w:r>
        <w:t xml:space="preserve">Zhotovitel bude u své kontejnerové techniky pro zřízení dobíjecího místa v koordinaci se zhotovitelem </w:t>
      </w:r>
      <w:r w:rsidR="00D0359E">
        <w:t>S</w:t>
      </w:r>
      <w:r>
        <w:t xml:space="preserve">tavby </w:t>
      </w:r>
      <w:r w:rsidR="00D0359E">
        <w:t xml:space="preserve">1, Stavby 2 a Stavby </w:t>
      </w:r>
      <w:r w:rsidR="00D0359E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, aby byly v rámci zmíněných staveb připraveny přípojné body pro vstup z trakční měnírny a pro výstup k dobíjecí troleji. </w:t>
      </w:r>
    </w:p>
    <w:p w14:paraId="282EF8BA" w14:textId="6C4D04C1" w:rsidR="00175762" w:rsidRDefault="00175762" w:rsidP="00AB6BE0">
      <w:pPr>
        <w:pStyle w:val="Text2-1"/>
      </w:pPr>
      <w:r>
        <w:rPr>
          <w:rFonts w:eastAsia="Times New Roman" w:cs="Times New Roman"/>
          <w:lang w:eastAsia="cs-CZ"/>
        </w:rPr>
        <w:t>Zhotovitel musí respektovat hlukové limity svojí kontejnerové techniky, která je uvedená v Záměru projektu</w:t>
      </w:r>
      <w:r w:rsidR="00CE7600">
        <w:rPr>
          <w:rFonts w:eastAsia="Times New Roman" w:cs="Times New Roman"/>
          <w:lang w:eastAsia="cs-CZ"/>
        </w:rPr>
        <w:t xml:space="preserve"> a Doprovodné dokumentaci</w:t>
      </w:r>
      <w:r>
        <w:rPr>
          <w:rFonts w:eastAsia="Times New Roman" w:cs="Times New Roman"/>
          <w:lang w:eastAsia="cs-CZ"/>
        </w:rPr>
        <w:t>.</w:t>
      </w:r>
    </w:p>
    <w:p w14:paraId="2D08D049" w14:textId="77777777" w:rsidR="00DF7BAA" w:rsidRDefault="00DF7BAA" w:rsidP="00DF7BAA">
      <w:pPr>
        <w:pStyle w:val="Nadpis2-2"/>
      </w:pPr>
      <w:bookmarkStart w:id="26" w:name="_Toc167184031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62B5CC2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089248F6" w14:textId="77777777" w:rsidR="00DF7BAA" w:rsidRDefault="00DF7BAA" w:rsidP="00DF7BAA">
      <w:pPr>
        <w:pStyle w:val="Nadpis2-2"/>
      </w:pPr>
      <w:bookmarkStart w:id="27" w:name="_Toc6410438"/>
      <w:bookmarkStart w:id="28" w:name="_Toc167184032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6F05A79B" w14:textId="77777777" w:rsidR="00D12C76" w:rsidRPr="006C33D8" w:rsidRDefault="00562909" w:rsidP="00562909">
      <w:pPr>
        <w:pStyle w:val="Text2-1"/>
      </w:pPr>
      <w:r w:rsidRPr="00562909">
        <w:t>Pokud již Zhotovitel nepředložil dále uvedené doklady pře</w:t>
      </w:r>
      <w:r w:rsidR="007B0D64">
        <w:t>d</w:t>
      </w:r>
      <w:r w:rsidRPr="00562909">
        <w:t xml:space="preserve">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46FBE5E3" w14:textId="77777777" w:rsidR="00DF7BAA" w:rsidRPr="007B0D64" w:rsidRDefault="00DF7BAA" w:rsidP="00DF7BAA">
      <w:pPr>
        <w:pStyle w:val="Nadpis2-2"/>
      </w:pPr>
      <w:bookmarkStart w:id="29" w:name="_Toc6410439"/>
      <w:bookmarkStart w:id="30" w:name="_Toc167184033"/>
      <w:r w:rsidRPr="007B0D64">
        <w:t>Dokumentace zhotovitele pro stavbu</w:t>
      </w:r>
      <w:bookmarkEnd w:id="29"/>
      <w:bookmarkEnd w:id="30"/>
    </w:p>
    <w:p w14:paraId="48AF039D" w14:textId="77777777" w:rsidR="00DF7BAA" w:rsidRPr="007B0D64" w:rsidRDefault="00130E62" w:rsidP="00562909">
      <w:pPr>
        <w:pStyle w:val="Text2-1"/>
      </w:pPr>
      <w:r w:rsidRPr="007B0D64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7B0D64">
        <w:t xml:space="preserve"> s ohledem na znalosti konkrétních dodávaných výrobků, technologií, postupů a výrobních podmínek Zhotovitele.</w:t>
      </w:r>
      <w:r w:rsidRPr="007B0D64">
        <w:t xml:space="preserve"> </w:t>
      </w:r>
      <w:r w:rsidR="00562909" w:rsidRPr="007B0D64">
        <w:t>Obsah a rozsah RDS je definován přílohou P8 směrnice SŽ SM011, Dokumentace staveb Správy železnic, státní organizace (dále jen „SŽ SM011“),</w:t>
      </w:r>
      <w:r w:rsidRPr="007B0D64">
        <w:t xml:space="preserve"> zejména</w:t>
      </w:r>
      <w:r w:rsidR="00E37E06" w:rsidRPr="007B0D64">
        <w:t> </w:t>
      </w:r>
      <w:r w:rsidRPr="007B0D64">
        <w:t>pro:</w:t>
      </w:r>
    </w:p>
    <w:p w14:paraId="7D2A892E" w14:textId="5E6892FB" w:rsidR="00DF7BAA" w:rsidRPr="007B0D64" w:rsidRDefault="007B0D64" w:rsidP="00103B38">
      <w:pPr>
        <w:pStyle w:val="Odstavec1-1a"/>
        <w:numPr>
          <w:ilvl w:val="0"/>
          <w:numId w:val="7"/>
        </w:numPr>
        <w:spacing w:after="120"/>
      </w:pPr>
      <w:r w:rsidRPr="007B0D64">
        <w:t xml:space="preserve">Vnitřní uspořádání kontejnerové </w:t>
      </w:r>
      <w:r w:rsidR="005E63E0">
        <w:t>technologie</w:t>
      </w:r>
      <w:r w:rsidRPr="007B0D64">
        <w:t xml:space="preserve">, kterou následně převezme </w:t>
      </w:r>
      <w:r w:rsidR="00FB4B3E">
        <w:t>Objednatel</w:t>
      </w:r>
      <w:r>
        <w:t xml:space="preserve"> a</w:t>
      </w:r>
      <w:r w:rsidR="00FB4B3E">
        <w:t> </w:t>
      </w:r>
      <w:r>
        <w:t xml:space="preserve">umístění </w:t>
      </w:r>
      <w:r w:rsidR="005E63E0">
        <w:t xml:space="preserve">kontejneru </w:t>
      </w:r>
      <w:r>
        <w:t xml:space="preserve">na předem vybrané </w:t>
      </w:r>
      <w:r w:rsidR="00FB4B3E">
        <w:t xml:space="preserve">a připravené </w:t>
      </w:r>
      <w:r>
        <w:t>místo v příslušné železniční stanici</w:t>
      </w:r>
      <w:r w:rsidRPr="007B0D64">
        <w:t>.</w:t>
      </w:r>
    </w:p>
    <w:p w14:paraId="63DDA02C" w14:textId="77777777" w:rsidR="00DF7BAA" w:rsidRDefault="00DF7BAA" w:rsidP="00DF7BAA">
      <w:pPr>
        <w:pStyle w:val="Text2-1"/>
      </w:pPr>
      <w:r>
        <w:lastRenderedPageBreak/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48569891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3D27D1AF" w14:textId="77777777" w:rsidR="00DF7BAA" w:rsidRDefault="00DF7BAA" w:rsidP="00DF7BAA">
      <w:pPr>
        <w:pStyle w:val="Nadpis2-2"/>
      </w:pPr>
      <w:bookmarkStart w:id="31" w:name="_Toc6410440"/>
      <w:bookmarkStart w:id="32" w:name="_Toc167184034"/>
      <w:r>
        <w:t>Dokumentace skutečného provedení stavby</w:t>
      </w:r>
      <w:bookmarkEnd w:id="31"/>
      <w:bookmarkEnd w:id="32"/>
    </w:p>
    <w:p w14:paraId="3BA40CB4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4418F82B" w14:textId="77777777" w:rsidR="00B94742" w:rsidRDefault="00B94742" w:rsidP="00FA17DD">
      <w:pPr>
        <w:pStyle w:val="Text2-1"/>
      </w:pPr>
      <w:r>
        <w:t>Předá</w:t>
      </w:r>
      <w:r w:rsidRPr="007B0D64">
        <w:t xml:space="preserve">ní DSPS dle </w:t>
      </w:r>
      <w:r w:rsidR="00090F72" w:rsidRPr="007B0D64">
        <w:t xml:space="preserve">článku </w:t>
      </w:r>
      <w:r w:rsidR="00FA17DD" w:rsidRPr="007B0D64">
        <w:t xml:space="preserve">1.11.5 Kapitoly 1 TKP </w:t>
      </w:r>
      <w:r w:rsidRPr="007B0D64">
        <w:t>proběhne na médiu</w:t>
      </w:r>
      <w:r w:rsidR="00FA17DD" w:rsidRPr="007B0D64">
        <w:t>:</w:t>
      </w:r>
      <w:r w:rsidRPr="007B0D64">
        <w:t xml:space="preserve"> USB </w:t>
      </w:r>
      <w:proofErr w:type="spellStart"/>
      <w:r w:rsidRPr="007B0D64">
        <w:t>flash</w:t>
      </w:r>
      <w:proofErr w:type="spellEnd"/>
      <w:r w:rsidRPr="007B0D64">
        <w:t xml:space="preserve"> disk.</w:t>
      </w:r>
      <w:r>
        <w:t xml:space="preserve"> </w:t>
      </w:r>
    </w:p>
    <w:p w14:paraId="0CF56EED" w14:textId="77777777" w:rsidR="00DF7BAA" w:rsidRDefault="00DF7BAA" w:rsidP="00DF7BAA">
      <w:pPr>
        <w:pStyle w:val="Nadpis2-2"/>
      </w:pPr>
      <w:bookmarkStart w:id="33" w:name="_Toc6410443"/>
      <w:bookmarkStart w:id="34" w:name="_Toc167184035"/>
      <w:r>
        <w:t>Silnoproudá technologie včetně DŘT, trakční a energetická zařízení</w:t>
      </w:r>
      <w:bookmarkEnd w:id="33"/>
      <w:bookmarkEnd w:id="34"/>
    </w:p>
    <w:p w14:paraId="3EAD43C1" w14:textId="628380F8" w:rsidR="00DF7BAA" w:rsidRDefault="00CE7600" w:rsidP="00DF7BAA">
      <w:pPr>
        <w:pStyle w:val="Text2-1"/>
      </w:pPr>
      <w:r>
        <w:t xml:space="preserve">Vstupní napětí do kontejnerové technologie: </w:t>
      </w:r>
      <w:r w:rsidR="00460D5A">
        <w:t xml:space="preserve">22 </w:t>
      </w:r>
      <w:proofErr w:type="spellStart"/>
      <w:r w:rsidR="00460D5A">
        <w:t>kV</w:t>
      </w:r>
      <w:proofErr w:type="spellEnd"/>
      <w:r w:rsidR="00460D5A">
        <w:t xml:space="preserve"> AC, 50 Hz</w:t>
      </w:r>
    </w:p>
    <w:p w14:paraId="69F79AA3" w14:textId="582B29AC" w:rsidR="00460D5A" w:rsidRDefault="00460D5A" w:rsidP="00DF7BAA">
      <w:pPr>
        <w:pStyle w:val="Text2-1"/>
      </w:pPr>
      <w:r>
        <w:t xml:space="preserve">Výkon: 2000 </w:t>
      </w:r>
      <w:proofErr w:type="spellStart"/>
      <w:r>
        <w:t>kVA</w:t>
      </w:r>
      <w:proofErr w:type="spellEnd"/>
    </w:p>
    <w:p w14:paraId="52C62F15" w14:textId="1C4906DF" w:rsidR="00460D5A" w:rsidRDefault="00460D5A" w:rsidP="00DF7BAA">
      <w:pPr>
        <w:pStyle w:val="Text2-1"/>
      </w:pPr>
      <w:r>
        <w:t xml:space="preserve">Rozvodna 22 </w:t>
      </w:r>
      <w:proofErr w:type="spellStart"/>
      <w:r>
        <w:t>kV</w:t>
      </w:r>
      <w:proofErr w:type="spellEnd"/>
      <w:r>
        <w:t>: kompaktní rozvaděč 22 KV bez SF6 bude vybaven přívodním polem, polem pro fakturační měření s přístrojovými transformátory, vývodovým polem pro napájecí transformátory (motoricky ovládaným s možností dálkového ovládání a</w:t>
      </w:r>
      <w:r w:rsidR="00FB4B3E">
        <w:t> </w:t>
      </w:r>
      <w:r>
        <w:t xml:space="preserve">příslušnou ochranou) a vývodovým polem pro transformátor vlastní spotřeby. </w:t>
      </w:r>
    </w:p>
    <w:p w14:paraId="3146D275" w14:textId="4BCB569A" w:rsidR="00460D5A" w:rsidRDefault="00460D5A" w:rsidP="00DF7BAA">
      <w:pPr>
        <w:pStyle w:val="Text2-1"/>
      </w:pPr>
      <w:r>
        <w:t xml:space="preserve">Vlastní spotřeba bude řešena z transformátoru 22/0,4 </w:t>
      </w:r>
      <w:proofErr w:type="spellStart"/>
      <w:r>
        <w:t>kV</w:t>
      </w:r>
      <w:proofErr w:type="spellEnd"/>
      <w:r>
        <w:t xml:space="preserve">. </w:t>
      </w:r>
    </w:p>
    <w:p w14:paraId="056F4E7F" w14:textId="2C43768F" w:rsidR="00460D5A" w:rsidRDefault="00460D5A" w:rsidP="00DF7BAA">
      <w:pPr>
        <w:pStyle w:val="Text2-1"/>
      </w:pPr>
      <w:r>
        <w:t xml:space="preserve">Vývody 25 </w:t>
      </w:r>
      <w:proofErr w:type="spellStart"/>
      <w:r>
        <w:t>kV</w:t>
      </w:r>
      <w:proofErr w:type="spellEnd"/>
      <w:r>
        <w:t xml:space="preserve"> budou osazeny souborem ochran TV (hlídání nadproudu a podpětí).</w:t>
      </w:r>
    </w:p>
    <w:p w14:paraId="52C1E20C" w14:textId="77777777" w:rsidR="00460D5A" w:rsidRDefault="00460D5A" w:rsidP="00DF7BAA">
      <w:pPr>
        <w:pStyle w:val="Text2-1"/>
      </w:pPr>
      <w:r>
        <w:t xml:space="preserve">Ovládací obvody budou zálohovány. </w:t>
      </w:r>
    </w:p>
    <w:p w14:paraId="0AEA942A" w14:textId="3899540E" w:rsidR="00460D5A" w:rsidRDefault="00460D5A" w:rsidP="00DF7BAA">
      <w:pPr>
        <w:pStyle w:val="Text2-1"/>
      </w:pPr>
      <w:r>
        <w:t>Říd</w:t>
      </w:r>
      <w:r w:rsidR="00FB4B3E">
        <w:t>i</w:t>
      </w:r>
      <w:r>
        <w:t>cí systém bude založen na IED s protokolem IEC 61850.</w:t>
      </w:r>
    </w:p>
    <w:p w14:paraId="5A48AA20" w14:textId="6D3A7C05" w:rsidR="00460D5A" w:rsidRDefault="00460D5A" w:rsidP="00DF7BAA">
      <w:pPr>
        <w:pStyle w:val="Text2-1"/>
      </w:pPr>
      <w:r>
        <w:t>BEMU bude připojen na nadřazený říd</w:t>
      </w:r>
      <w:r w:rsidR="00FB4B3E">
        <w:t>i</w:t>
      </w:r>
      <w:r>
        <w:t>cí systém (DŘT, případně DDTS).</w:t>
      </w:r>
    </w:p>
    <w:p w14:paraId="682EC0E8" w14:textId="77777777" w:rsidR="00DF7BAA" w:rsidRDefault="00DF7BAA" w:rsidP="00DF7BAA">
      <w:pPr>
        <w:pStyle w:val="Nadpis2-2"/>
      </w:pPr>
      <w:bookmarkStart w:id="35" w:name="_Toc167184036"/>
      <w:bookmarkStart w:id="36" w:name="_Toc6410458"/>
      <w:r>
        <w:t>Životní prostředí</w:t>
      </w:r>
      <w:bookmarkEnd w:id="35"/>
      <w:r>
        <w:t xml:space="preserve"> </w:t>
      </w:r>
      <w:bookmarkEnd w:id="36"/>
    </w:p>
    <w:p w14:paraId="64AB69E2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1F09E8A2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5A2E470C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</w:t>
      </w:r>
      <w:r w:rsidR="003202DC" w:rsidRPr="008444F1">
        <w:rPr>
          <w:i/>
        </w:rPr>
        <w:lastRenderedPageBreak/>
        <w:t xml:space="preserve">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8D41E7">
        <w:t>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3C687A0A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0F1EB3F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0D2783E1" w14:textId="77777777" w:rsidR="00DF7BAA" w:rsidRDefault="00DF7BAA" w:rsidP="00DF7BAA">
      <w:pPr>
        <w:pStyle w:val="Nadpis2-1"/>
      </w:pPr>
      <w:bookmarkStart w:id="37" w:name="_Toc6410460"/>
      <w:bookmarkStart w:id="38" w:name="_Toc167184037"/>
      <w:r w:rsidRPr="00EC2E51">
        <w:t>ORGANIZACE</w:t>
      </w:r>
      <w:r>
        <w:t xml:space="preserve"> VÝSTAVBY, VÝLUKY</w:t>
      </w:r>
      <w:bookmarkEnd w:id="37"/>
      <w:bookmarkEnd w:id="38"/>
    </w:p>
    <w:p w14:paraId="3FFB0C2E" w14:textId="00EE60B8" w:rsidR="00BC5413" w:rsidRDefault="00DF7BAA" w:rsidP="00DF7BAA">
      <w:pPr>
        <w:pStyle w:val="Text2-1"/>
      </w:pPr>
      <w:r w:rsidRPr="00C61444">
        <w:t xml:space="preserve">Rozhodující milníky jsou </w:t>
      </w:r>
      <w:r w:rsidR="00C61444">
        <w:t>osazení kontejnerové tec</w:t>
      </w:r>
      <w:r w:rsidR="00AB78C1">
        <w:t>hnologie na předem určené místo. Před osazením bude vše konzultováno s </w:t>
      </w:r>
      <w:r w:rsidR="00873DC9">
        <w:t xml:space="preserve">Objednatelem </w:t>
      </w:r>
      <w:r w:rsidR="00AB78C1">
        <w:t>a případně upřesněno z</w:t>
      </w:r>
      <w:r w:rsidR="00527D23">
        <w:t xml:space="preserve">hotovitelem </w:t>
      </w:r>
      <w:r w:rsidR="00AB78C1">
        <w:t>dokumentace</w:t>
      </w:r>
      <w:r w:rsidR="00527D23">
        <w:t xml:space="preserve"> pro </w:t>
      </w:r>
      <w:r w:rsidR="00873DC9">
        <w:t>další etap</w:t>
      </w:r>
      <w:r w:rsidR="00527D23">
        <w:t>u</w:t>
      </w:r>
      <w:r w:rsidR="00873DC9">
        <w:t xml:space="preserve"> stavby (</w:t>
      </w:r>
      <w:r w:rsidR="00527D23">
        <w:t>která bude provedena v režimu D+B)</w:t>
      </w:r>
      <w:r w:rsidR="00AB78C1">
        <w:t>.</w:t>
      </w:r>
    </w:p>
    <w:p w14:paraId="60E55423" w14:textId="77777777" w:rsidR="00C1208A" w:rsidRPr="00C1208A" w:rsidRDefault="00C1208A" w:rsidP="00C1208A">
      <w:pPr>
        <w:pStyle w:val="Text2-1"/>
      </w:pPr>
      <w:r w:rsidRPr="00C1208A">
        <w:t>Závazným pro Zhotovitele jsou následující Postupné závazné milníky (Pod-čl. 4.28):</w:t>
      </w:r>
    </w:p>
    <w:p w14:paraId="58D9AE3C" w14:textId="77777777" w:rsidR="00C1208A" w:rsidRPr="00C1208A" w:rsidRDefault="00C1208A" w:rsidP="00C1208A">
      <w:pPr>
        <w:pStyle w:val="TabulkaNadpis"/>
      </w:pPr>
      <w:r w:rsidRPr="00C1208A">
        <w:t>Postupné závazné milníky (Pod-čl. 4.28)</w:t>
      </w:r>
    </w:p>
    <w:tbl>
      <w:tblPr>
        <w:tblStyle w:val="Tabulka10"/>
        <w:tblW w:w="8080" w:type="dxa"/>
        <w:tblInd w:w="709" w:type="dxa"/>
        <w:tblLook w:val="04A0" w:firstRow="1" w:lastRow="0" w:firstColumn="1" w:lastColumn="0" w:noHBand="0" w:noVBand="1"/>
      </w:tblPr>
      <w:tblGrid>
        <w:gridCol w:w="1276"/>
        <w:gridCol w:w="5245"/>
        <w:gridCol w:w="1559"/>
      </w:tblGrid>
      <w:tr w:rsidR="00C1208A" w:rsidRPr="00EC105F" w14:paraId="7D00CBB5" w14:textId="77777777" w:rsidTr="00494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1FE26BD" w14:textId="77777777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>Milník</w:t>
            </w:r>
          </w:p>
        </w:tc>
        <w:tc>
          <w:tcPr>
            <w:tcW w:w="5245" w:type="dxa"/>
          </w:tcPr>
          <w:p w14:paraId="7E20EC8F" w14:textId="77777777" w:rsidR="00C1208A" w:rsidRPr="00EC105F" w:rsidRDefault="00C1208A" w:rsidP="00EC105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Popis</w:t>
            </w:r>
          </w:p>
        </w:tc>
        <w:tc>
          <w:tcPr>
            <w:tcW w:w="1559" w:type="dxa"/>
          </w:tcPr>
          <w:p w14:paraId="50202A3A" w14:textId="77777777" w:rsidR="00C1208A" w:rsidRPr="00EC105F" w:rsidRDefault="00C1208A" w:rsidP="00EC105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Termín milníku</w:t>
            </w:r>
          </w:p>
        </w:tc>
      </w:tr>
      <w:tr w:rsidR="00C1208A" w:rsidRPr="00EC105F" w14:paraId="5C8CB5CC" w14:textId="77777777" w:rsidTr="00EC10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2" w:space="0" w:color="auto"/>
            </w:tcBorders>
            <w:vAlign w:val="top"/>
          </w:tcPr>
          <w:p w14:paraId="2293DA63" w14:textId="53E51F90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>Stavba 1</w:t>
            </w:r>
            <w:r w:rsidRPr="00EC105F">
              <w:rPr>
                <w:b/>
              </w:rPr>
              <w:br/>
              <w:t>Milník č. 1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top"/>
          </w:tcPr>
          <w:p w14:paraId="1D2DD6B8" w14:textId="46686F07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05F">
              <w:t>Lhůta pro dodání kontejnerové technologie</w:t>
            </w:r>
            <w:r w:rsidR="00C55CB8" w:rsidRPr="00EC105F">
              <w:t xml:space="preserve"> nejpozději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top"/>
          </w:tcPr>
          <w:p w14:paraId="029300A7" w14:textId="5EFD6277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do 31. 3. 2025</w:t>
            </w:r>
          </w:p>
        </w:tc>
      </w:tr>
      <w:tr w:rsidR="00C1208A" w:rsidRPr="00EC105F" w14:paraId="132C49B5" w14:textId="77777777" w:rsidTr="00EC10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0D7BB0E0" w14:textId="2AAA713F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>Stavba 1</w:t>
            </w:r>
            <w:r w:rsidRPr="00EC105F">
              <w:rPr>
                <w:b/>
              </w:rPr>
              <w:br/>
              <w:t xml:space="preserve">Milník č. </w:t>
            </w:r>
            <w:r w:rsidR="00C55CB8" w:rsidRPr="00EC105F">
              <w:rPr>
                <w:b/>
              </w:rPr>
              <w:t>2</w:t>
            </w:r>
          </w:p>
        </w:tc>
        <w:tc>
          <w:tcPr>
            <w:tcW w:w="5245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5D3D2B7C" w14:textId="25BAADE3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05F">
              <w:t xml:space="preserve">Zprovoznění trakční dobíjecí stanice a ověření funkčnosti nabíjecí troleje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0EBA1109" w14:textId="72C518C4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do 30. 06. 2025</w:t>
            </w:r>
          </w:p>
        </w:tc>
      </w:tr>
      <w:tr w:rsidR="00C1208A" w:rsidRPr="00EC105F" w14:paraId="4FCD5662" w14:textId="77777777" w:rsidTr="00EC10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auto"/>
              <w:bottom w:val="single" w:sz="2" w:space="0" w:color="auto"/>
            </w:tcBorders>
            <w:vAlign w:val="top"/>
          </w:tcPr>
          <w:p w14:paraId="306D98E9" w14:textId="382AF66D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>Stavba 2</w:t>
            </w:r>
            <w:r w:rsidRPr="00EC105F">
              <w:rPr>
                <w:b/>
              </w:rPr>
              <w:br/>
              <w:t>Milník č. 1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2" w:space="0" w:color="auto"/>
            </w:tcBorders>
            <w:vAlign w:val="top"/>
          </w:tcPr>
          <w:p w14:paraId="778FFC7B" w14:textId="4EA34585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9" w:name="_Hlk169006527"/>
            <w:r w:rsidRPr="00EC105F">
              <w:t xml:space="preserve">Lhůta pro dodání kontejnerové technologie </w:t>
            </w:r>
            <w:bookmarkEnd w:id="39"/>
            <w:r w:rsidR="00C55CB8" w:rsidRPr="00EC105F">
              <w:t>nejpozději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vAlign w:val="top"/>
          </w:tcPr>
          <w:p w14:paraId="69D5F2B7" w14:textId="6F01B461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do 31. 08. 2025</w:t>
            </w:r>
            <w:r w:rsidR="00C1208A" w:rsidRPr="00EC105F">
              <w:rPr>
                <w:b/>
              </w:rPr>
              <w:t>.</w:t>
            </w:r>
          </w:p>
        </w:tc>
      </w:tr>
      <w:tr w:rsidR="00C1208A" w:rsidRPr="00EC105F" w14:paraId="729C3FFB" w14:textId="77777777" w:rsidTr="00EC10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3121F9C5" w14:textId="525DE456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>Stavba 2</w:t>
            </w:r>
            <w:r w:rsidRPr="00EC105F">
              <w:rPr>
                <w:b/>
              </w:rPr>
              <w:br/>
            </w:r>
            <w:r w:rsidR="00C55CB8" w:rsidRPr="00EC105F">
              <w:rPr>
                <w:b/>
              </w:rPr>
              <w:t>Milník č. 2</w:t>
            </w:r>
          </w:p>
        </w:tc>
        <w:tc>
          <w:tcPr>
            <w:tcW w:w="5245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7F77C052" w14:textId="53FC9AEE" w:rsidR="00C1208A" w:rsidRPr="00EC105F" w:rsidRDefault="00C1208A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05F">
              <w:t>Zprovoznění trakční dobíjecí stanice a ověře</w:t>
            </w:r>
            <w:r w:rsidR="00C55CB8" w:rsidRPr="00EC105F">
              <w:t xml:space="preserve">ní funkčnosti nabíjecí troleje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vAlign w:val="top"/>
          </w:tcPr>
          <w:p w14:paraId="301A0E1D" w14:textId="5A0EBC33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>do 30. 11. 2025.</w:t>
            </w:r>
          </w:p>
        </w:tc>
      </w:tr>
      <w:tr w:rsidR="00C1208A" w:rsidRPr="00EC105F" w14:paraId="397F5E61" w14:textId="77777777" w:rsidTr="00EC10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auto"/>
            </w:tcBorders>
            <w:vAlign w:val="top"/>
          </w:tcPr>
          <w:p w14:paraId="14BFDAF8" w14:textId="07C28275" w:rsidR="00C1208A" w:rsidRPr="00EC105F" w:rsidRDefault="00C1208A" w:rsidP="00EC105F">
            <w:pPr>
              <w:pStyle w:val="Tabulka-7"/>
              <w:rPr>
                <w:b/>
              </w:rPr>
            </w:pPr>
            <w:bookmarkStart w:id="40" w:name="_GoBack"/>
            <w:r w:rsidRPr="00EC105F">
              <w:rPr>
                <w:b/>
              </w:rPr>
              <w:t xml:space="preserve">Stavba </w:t>
            </w:r>
            <w:r w:rsidR="00C55CB8" w:rsidRPr="00EC105F">
              <w:rPr>
                <w:b/>
              </w:rPr>
              <w:t>3</w:t>
            </w:r>
            <w:r w:rsidRPr="00EC105F">
              <w:rPr>
                <w:b/>
              </w:rPr>
              <w:br/>
              <w:t>Milník č. 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top"/>
          </w:tcPr>
          <w:p w14:paraId="1F402B12" w14:textId="2FFC3DC6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05F">
              <w:t xml:space="preserve">Lhůta pro dodání kontejnerové technologie nejpozději 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top"/>
          </w:tcPr>
          <w:p w14:paraId="7BC1163F" w14:textId="17EC0374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 xml:space="preserve">do </w:t>
            </w:r>
            <w:r w:rsidR="00EC105F" w:rsidRPr="00EC105F">
              <w:rPr>
                <w:b/>
              </w:rPr>
              <w:t>31. 08. 2025</w:t>
            </w:r>
            <w:r w:rsidRPr="00EC105F">
              <w:rPr>
                <w:b/>
              </w:rPr>
              <w:t>.</w:t>
            </w:r>
          </w:p>
        </w:tc>
      </w:tr>
      <w:bookmarkEnd w:id="40"/>
      <w:tr w:rsidR="00C1208A" w:rsidRPr="00EC105F" w14:paraId="19876CC9" w14:textId="77777777" w:rsidTr="004949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Align w:val="top"/>
          </w:tcPr>
          <w:p w14:paraId="03315C2D" w14:textId="39749786" w:rsidR="00C1208A" w:rsidRPr="00EC105F" w:rsidRDefault="00C1208A" w:rsidP="00EC105F">
            <w:pPr>
              <w:pStyle w:val="Tabulka-7"/>
              <w:rPr>
                <w:b/>
              </w:rPr>
            </w:pPr>
            <w:r w:rsidRPr="00EC105F">
              <w:rPr>
                <w:b/>
              </w:rPr>
              <w:t xml:space="preserve">Stavba </w:t>
            </w:r>
            <w:r w:rsidR="00C55CB8" w:rsidRPr="00EC105F">
              <w:rPr>
                <w:b/>
              </w:rPr>
              <w:t>3</w:t>
            </w:r>
            <w:r w:rsidRPr="00EC105F">
              <w:rPr>
                <w:b/>
              </w:rPr>
              <w:br/>
            </w:r>
            <w:r w:rsidR="00C55CB8" w:rsidRPr="00EC105F">
              <w:rPr>
                <w:b/>
              </w:rPr>
              <w:t>Milník č. 2</w:t>
            </w:r>
          </w:p>
        </w:tc>
        <w:tc>
          <w:tcPr>
            <w:tcW w:w="5245" w:type="dxa"/>
            <w:vAlign w:val="top"/>
          </w:tcPr>
          <w:p w14:paraId="17A9E7F1" w14:textId="5BEBDCAA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105F">
              <w:t xml:space="preserve">Zprovoznění trakční dobíjecí stanice a ověření funkčnosti nabíjecí troleje </w:t>
            </w:r>
          </w:p>
        </w:tc>
        <w:tc>
          <w:tcPr>
            <w:tcW w:w="1559" w:type="dxa"/>
            <w:vAlign w:val="top"/>
          </w:tcPr>
          <w:p w14:paraId="6C33C7DD" w14:textId="7F712905" w:rsidR="00C1208A" w:rsidRPr="00EC105F" w:rsidRDefault="00C55CB8" w:rsidP="00EC105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105F">
              <w:rPr>
                <w:b/>
              </w:rPr>
              <w:t xml:space="preserve">do </w:t>
            </w:r>
            <w:r w:rsidR="00EC105F" w:rsidRPr="00EC105F">
              <w:rPr>
                <w:b/>
              </w:rPr>
              <w:t>30. 11. 2025</w:t>
            </w:r>
            <w:r w:rsidRPr="00EC105F">
              <w:rPr>
                <w:b/>
              </w:rPr>
              <w:t xml:space="preserve">. </w:t>
            </w:r>
          </w:p>
        </w:tc>
      </w:tr>
    </w:tbl>
    <w:p w14:paraId="352E1D3E" w14:textId="77777777" w:rsidR="00C55CB8" w:rsidRDefault="00C55CB8" w:rsidP="00C55CB8">
      <w:pPr>
        <w:pStyle w:val="TextbezslBEZMEZER"/>
      </w:pPr>
    </w:p>
    <w:p w14:paraId="1D0F1874" w14:textId="7BBA4D22" w:rsidR="00AB78C1" w:rsidRPr="00C61444" w:rsidRDefault="00AB78C1" w:rsidP="00DF7BAA">
      <w:pPr>
        <w:pStyle w:val="Text2-1"/>
      </w:pPr>
      <w:r>
        <w:t xml:space="preserve">Osazení kontejnerové techniky se nedotýká provozované železniční dopravní cesty, jednotlivá místa jsou vždy vzdálené od kolejí, není tedy potřeba zajišťovat výluky. </w:t>
      </w:r>
    </w:p>
    <w:p w14:paraId="6729E883" w14:textId="77777777" w:rsidR="00DF7BAA" w:rsidRDefault="00DF7BAA" w:rsidP="00DF7BAA">
      <w:pPr>
        <w:pStyle w:val="Nadpis2-1"/>
      </w:pPr>
      <w:bookmarkStart w:id="41" w:name="_Toc6410461"/>
      <w:bookmarkStart w:id="42" w:name="_Toc167184038"/>
      <w:r w:rsidRPr="00EC2E51">
        <w:lastRenderedPageBreak/>
        <w:t>SOUVISEJÍCÍ</w:t>
      </w:r>
      <w:r>
        <w:t xml:space="preserve"> DOKUMENTY A PŘEDPISY</w:t>
      </w:r>
      <w:bookmarkEnd w:id="41"/>
      <w:bookmarkEnd w:id="42"/>
    </w:p>
    <w:p w14:paraId="4DC9E9A4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61522AD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3E0287C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97DC429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78DB2BB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B27F421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16CD4CC4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5D06A636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6323497F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BC76BD8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0C812E17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2D1DC0E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7F3EBA9" w14:textId="77777777" w:rsidR="00DF7BAA" w:rsidRPr="00AB78C1" w:rsidRDefault="00DF7BAA" w:rsidP="00DF7BAA">
      <w:pPr>
        <w:pStyle w:val="Nadpis2-1"/>
      </w:pPr>
      <w:bookmarkStart w:id="43" w:name="_Toc6410462"/>
      <w:bookmarkStart w:id="44" w:name="_Toc167184039"/>
      <w:r w:rsidRPr="00AB78C1">
        <w:t>PŘÍLOHY</w:t>
      </w:r>
      <w:bookmarkEnd w:id="43"/>
      <w:bookmarkEnd w:id="44"/>
    </w:p>
    <w:p w14:paraId="091A1508" w14:textId="26330707" w:rsidR="00245EE0" w:rsidRDefault="00245EE0" w:rsidP="00075675">
      <w:pPr>
        <w:pStyle w:val="Text2-1"/>
      </w:pPr>
      <w:bookmarkStart w:id="45" w:name="_Ref166503505"/>
      <w:bookmarkStart w:id="46" w:name="_Ref92267992"/>
      <w:r>
        <w:t>Technická specifikace technologie trakční dobíjecí stanice pro BEMU</w:t>
      </w:r>
      <w:bookmarkEnd w:id="45"/>
    </w:p>
    <w:p w14:paraId="0EA168D8" w14:textId="238170AE" w:rsidR="00BB645D" w:rsidRPr="00AB78C1" w:rsidRDefault="00BB645D" w:rsidP="00075675">
      <w:pPr>
        <w:pStyle w:val="Text2-1"/>
      </w:pPr>
      <w:bookmarkStart w:id="47" w:name="_Ref166503610"/>
      <w:bookmarkStart w:id="48" w:name="_Hlk168389397"/>
      <w:r w:rsidRPr="00EE6AC8">
        <w:t>Výjimka čj.: …………………… ze dne …………………………</w:t>
      </w:r>
      <w:bookmarkEnd w:id="47"/>
      <w:r w:rsidRPr="00EE6AC8">
        <w:t xml:space="preserve"> </w:t>
      </w:r>
    </w:p>
    <w:bookmarkEnd w:id="46"/>
    <w:bookmarkEnd w:id="48"/>
    <w:p w14:paraId="1E78DF5F" w14:textId="77777777" w:rsidR="00F01B21" w:rsidRDefault="00F01B21" w:rsidP="00F01B21">
      <w:pPr>
        <w:pStyle w:val="Textbezslovn"/>
      </w:pPr>
    </w:p>
    <w:p w14:paraId="1E1E00B4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000DADEB" w14:textId="77777777" w:rsidR="002B6B58" w:rsidRDefault="002B6B58" w:rsidP="00264D52">
      <w:pPr>
        <w:pStyle w:val="Textbezodsazen"/>
      </w:pPr>
    </w:p>
    <w:sectPr w:rsidR="002B6B58" w:rsidSect="00EA69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180F1" w14:textId="77777777" w:rsidR="003B0BAF" w:rsidRDefault="003B0BAF" w:rsidP="00962258">
      <w:pPr>
        <w:spacing w:after="0" w:line="240" w:lineRule="auto"/>
      </w:pPr>
      <w:r>
        <w:separator/>
      </w:r>
    </w:p>
    <w:p w14:paraId="309C821B" w14:textId="77777777" w:rsidR="003B0BAF" w:rsidRDefault="003B0BAF"/>
  </w:endnote>
  <w:endnote w:type="continuationSeparator" w:id="0">
    <w:p w14:paraId="25C444C2" w14:textId="77777777" w:rsidR="003B0BAF" w:rsidRDefault="003B0BAF" w:rsidP="00962258">
      <w:pPr>
        <w:spacing w:after="0" w:line="240" w:lineRule="auto"/>
      </w:pPr>
      <w:r>
        <w:continuationSeparator/>
      </w:r>
    </w:p>
    <w:p w14:paraId="758E7D8C" w14:textId="77777777" w:rsidR="003B0BAF" w:rsidRDefault="003B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A6534" w:rsidRPr="003462EB" w14:paraId="101F2F9C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19B9FC" w14:textId="51EE7351" w:rsidR="00BA6534" w:rsidRPr="00B8518B" w:rsidRDefault="00BA653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10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105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BC32A86" w14:textId="534B8839" w:rsidR="00575274" w:rsidRPr="008E6A16" w:rsidRDefault="00AB3A25" w:rsidP="003462EB">
          <w:pPr>
            <w:pStyle w:val="Zpatvlevo"/>
            <w:rPr>
              <w:noProof/>
              <w:sz w:val="4"/>
              <w:szCs w:val="4"/>
            </w:rPr>
          </w:pPr>
          <w:fldSimple w:instr=" STYLEREF  _Název_akce  \* MERGEFORMAT ">
            <w:r w:rsidR="00EC105F">
              <w:rPr>
                <w:noProof/>
              </w:rPr>
              <w:t xml:space="preserve">„Zřízení dobíjecí stanice BEMU v žst. Štramberk“, </w:t>
            </w:r>
            <w:r w:rsidR="00EC105F">
              <w:rPr>
                <w:noProof/>
              </w:rPr>
              <w:br/>
              <w:t xml:space="preserve">„Zřízení dobíjecí stanice BEMU v žst. Krnov“, </w:t>
            </w:r>
            <w:r w:rsidR="00EC105F">
              <w:rPr>
                <w:noProof/>
              </w:rPr>
              <w:br/>
              <w:t xml:space="preserve">„Zřízení dobíjecí stanice BEMU v žst. Budišov nad Budišovkou“, </w:t>
            </w:r>
            <w:r w:rsidR="00EC105F">
              <w:rPr>
                <w:noProof/>
              </w:rPr>
              <w:br/>
              <w:t>1. část - dodání a instalace technologie ke zřízení dobíjecí stanice BEMU</w:t>
            </w:r>
            <w:r w:rsidR="00EC105F">
              <w:rPr>
                <w:noProof/>
              </w:rPr>
              <w:cr/>
            </w:r>
          </w:fldSimple>
        </w:p>
        <w:p w14:paraId="3215F9DC" w14:textId="5F9FD73A" w:rsidR="00BA6534" w:rsidRPr="003462EB" w:rsidRDefault="0043532F" w:rsidP="00575274">
          <w:pPr>
            <w:pStyle w:val="Zpatvlevo"/>
          </w:pPr>
          <w:r>
            <w:t>Technická specifikace</w:t>
          </w:r>
          <w:r w:rsidR="00575274">
            <w:t xml:space="preserve">, </w:t>
          </w:r>
          <w:r w:rsidR="00BA6534">
            <w:t>Zvláštní</w:t>
          </w:r>
          <w:r w:rsidR="00BA6534" w:rsidRPr="003462EB">
            <w:t xml:space="preserve"> technické podmínky</w:t>
          </w:r>
          <w:r w:rsidR="00BA6534">
            <w:t xml:space="preserve"> - Zhotovení stavby </w:t>
          </w:r>
        </w:p>
      </w:tc>
    </w:tr>
  </w:tbl>
  <w:p w14:paraId="1772407A" w14:textId="77777777" w:rsidR="00BA6534" w:rsidRPr="00614E71" w:rsidRDefault="00BA6534">
    <w:pPr>
      <w:pStyle w:val="Zpat"/>
      <w:rPr>
        <w:sz w:val="2"/>
        <w:szCs w:val="2"/>
      </w:rPr>
    </w:pPr>
  </w:p>
  <w:p w14:paraId="12BF3CC9" w14:textId="77777777" w:rsidR="00035ACA" w:rsidRDefault="00035A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A6534" w:rsidRPr="009E09BE" w14:paraId="3FA27190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CBD74B0" w14:textId="4E2B18E4" w:rsidR="00575274" w:rsidRPr="008E6A16" w:rsidRDefault="00AB3A25" w:rsidP="003B111D">
          <w:pPr>
            <w:pStyle w:val="Zpatvpravo"/>
            <w:rPr>
              <w:noProof/>
              <w:sz w:val="4"/>
              <w:szCs w:val="4"/>
            </w:rPr>
          </w:pPr>
          <w:fldSimple w:instr=" STYLEREF  _Název_akce  \* MERGEFORMAT ">
            <w:r w:rsidR="00EC105F">
              <w:rPr>
                <w:noProof/>
              </w:rPr>
              <w:t xml:space="preserve">„Zřízení dobíjecí stanice BEMU v žst. Štramberk“, </w:t>
            </w:r>
            <w:r w:rsidR="00EC105F">
              <w:rPr>
                <w:noProof/>
              </w:rPr>
              <w:br/>
              <w:t xml:space="preserve">„Zřízení dobíjecí stanice BEMU v žst. Krnov“, </w:t>
            </w:r>
            <w:r w:rsidR="00EC105F">
              <w:rPr>
                <w:noProof/>
              </w:rPr>
              <w:br/>
              <w:t xml:space="preserve">„Zřízení dobíjecí stanice BEMU v žst. Budišov nad Budišovkou“, </w:t>
            </w:r>
            <w:r w:rsidR="00EC105F">
              <w:rPr>
                <w:noProof/>
              </w:rPr>
              <w:br/>
              <w:t>1. část - dodání a instalace technologie ke zřízení dobíjecí stanice BEMU</w:t>
            </w:r>
            <w:r w:rsidR="00EC105F">
              <w:rPr>
                <w:noProof/>
              </w:rPr>
              <w:cr/>
            </w:r>
          </w:fldSimple>
        </w:p>
        <w:p w14:paraId="611193E0" w14:textId="1210A550" w:rsidR="00BA6534" w:rsidRPr="003462EB" w:rsidRDefault="0043532F" w:rsidP="0057527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specifikace</w:t>
          </w:r>
          <w:r w:rsidR="00575274">
            <w:t xml:space="preserve">, </w:t>
          </w:r>
          <w:r w:rsidR="00BA6534">
            <w:t>Zvláštní</w:t>
          </w:r>
          <w:r w:rsidR="00BA6534" w:rsidRPr="003462EB">
            <w:t xml:space="preserve"> technické podmínky</w:t>
          </w:r>
          <w:r w:rsidR="00BA6534">
            <w:t xml:space="preserve"> - Zhotovení stavby</w:t>
          </w:r>
        </w:p>
      </w:tc>
      <w:tc>
        <w:tcPr>
          <w:tcW w:w="935" w:type="dxa"/>
          <w:vAlign w:val="bottom"/>
        </w:tcPr>
        <w:p w14:paraId="7A62E970" w14:textId="1861E1C8" w:rsidR="00BA6534" w:rsidRPr="009E09BE" w:rsidRDefault="00BA653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10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105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5EB6F29" w14:textId="77777777" w:rsidR="00BA6534" w:rsidRPr="00B8518B" w:rsidRDefault="00BA6534" w:rsidP="00B8518B">
    <w:pPr>
      <w:pStyle w:val="Zpat"/>
      <w:rPr>
        <w:sz w:val="2"/>
        <w:szCs w:val="2"/>
      </w:rPr>
    </w:pPr>
  </w:p>
  <w:p w14:paraId="69EF2430" w14:textId="77777777" w:rsidR="00035ACA" w:rsidRDefault="00035A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B853A" w14:textId="3D43C313" w:rsidR="00BA6534" w:rsidRPr="00B8518B" w:rsidRDefault="00BA6534" w:rsidP="00460660">
    <w:pPr>
      <w:pStyle w:val="Zpat"/>
      <w:rPr>
        <w:sz w:val="2"/>
        <w:szCs w:val="2"/>
      </w:rPr>
    </w:pPr>
  </w:p>
  <w:p w14:paraId="24E2D17F" w14:textId="77777777" w:rsidR="00BA6534" w:rsidRDefault="00BA6534" w:rsidP="00757290">
    <w:pPr>
      <w:pStyle w:val="Zpatvlevo"/>
      <w:rPr>
        <w:rFonts w:cs="Calibri"/>
        <w:szCs w:val="12"/>
      </w:rPr>
    </w:pPr>
  </w:p>
  <w:p w14:paraId="2C8BBD4B" w14:textId="77777777" w:rsidR="00BA6534" w:rsidRPr="00460660" w:rsidRDefault="00BA653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9B316" w14:textId="77777777" w:rsidR="003B0BAF" w:rsidRDefault="003B0BAF" w:rsidP="00962258">
      <w:pPr>
        <w:spacing w:after="0" w:line="240" w:lineRule="auto"/>
      </w:pPr>
      <w:r>
        <w:separator/>
      </w:r>
    </w:p>
    <w:p w14:paraId="1E185046" w14:textId="77777777" w:rsidR="003B0BAF" w:rsidRDefault="003B0BAF"/>
  </w:footnote>
  <w:footnote w:type="continuationSeparator" w:id="0">
    <w:p w14:paraId="2BEDA766" w14:textId="77777777" w:rsidR="003B0BAF" w:rsidRDefault="003B0BAF" w:rsidP="00962258">
      <w:pPr>
        <w:spacing w:after="0" w:line="240" w:lineRule="auto"/>
      </w:pPr>
      <w:r>
        <w:continuationSeparator/>
      </w:r>
    </w:p>
    <w:p w14:paraId="573BB3AB" w14:textId="77777777" w:rsidR="003B0BAF" w:rsidRDefault="003B0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120C6" w14:textId="09B24001" w:rsidR="0043532F" w:rsidRDefault="0043532F">
    <w:pPr>
      <w:pStyle w:val="Zhlav"/>
    </w:pPr>
  </w:p>
  <w:p w14:paraId="3107F248" w14:textId="77777777" w:rsidR="00035ACA" w:rsidRDefault="00035A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E7F97" w14:textId="3F2305D5" w:rsidR="0043532F" w:rsidRDefault="0043532F">
    <w:pPr>
      <w:pStyle w:val="Zhlav"/>
    </w:pPr>
  </w:p>
  <w:p w14:paraId="1DCD4F2A" w14:textId="77777777" w:rsidR="00035ACA" w:rsidRDefault="00035AC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A6534" w14:paraId="3265CB1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BADAFD" w14:textId="43F66295" w:rsidR="00BA6534" w:rsidRPr="00B8518B" w:rsidRDefault="00BA653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6FFAEB" w14:textId="77777777" w:rsidR="00BA6534" w:rsidRDefault="00BA653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44FA6A2" wp14:editId="6EB853B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FF9EF7F" w14:textId="77777777" w:rsidR="00BA6534" w:rsidRPr="00D6163D" w:rsidRDefault="00BA6534" w:rsidP="00FC6389">
          <w:pPr>
            <w:pStyle w:val="Druhdokumentu"/>
          </w:pPr>
        </w:p>
      </w:tc>
    </w:tr>
    <w:tr w:rsidR="00BA6534" w14:paraId="675E732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CA67F" w14:textId="77777777" w:rsidR="00BA6534" w:rsidRPr="00B8518B" w:rsidRDefault="00BA653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FBFCA6" w14:textId="77777777" w:rsidR="00BA6534" w:rsidRDefault="00BA653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185414" w14:textId="77777777" w:rsidR="00BA6534" w:rsidRPr="00D6163D" w:rsidRDefault="00BA6534" w:rsidP="00FC6389">
          <w:pPr>
            <w:pStyle w:val="Druhdokumentu"/>
          </w:pPr>
        </w:p>
      </w:tc>
    </w:tr>
  </w:tbl>
  <w:p w14:paraId="2D73C076" w14:textId="77777777" w:rsidR="00BA6534" w:rsidRPr="00D6163D" w:rsidRDefault="00BA6534" w:rsidP="00FC6389">
    <w:pPr>
      <w:pStyle w:val="Zhlav"/>
      <w:rPr>
        <w:sz w:val="8"/>
        <w:szCs w:val="8"/>
      </w:rPr>
    </w:pPr>
  </w:p>
  <w:p w14:paraId="4CAB31ED" w14:textId="77777777" w:rsidR="00BA6534" w:rsidRPr="00460660" w:rsidRDefault="00BA653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8"/>
  </w:num>
  <w:num w:numId="13">
    <w:abstractNumId w:val="9"/>
  </w:num>
  <w:num w:numId="14">
    <w:abstractNumId w:val="1"/>
  </w:num>
  <w:num w:numId="15">
    <w:abstractNumId w:val="3"/>
  </w:num>
  <w:num w:numId="16">
    <w:abstractNumId w:val="10"/>
  </w:num>
  <w:num w:numId="17">
    <w:abstractNumId w:val="10"/>
  </w:num>
  <w:num w:numId="18">
    <w:abstractNumId w:val="10"/>
  </w:num>
  <w:num w:numId="19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4A"/>
    <w:rsid w:val="00002F26"/>
    <w:rsid w:val="00005B8A"/>
    <w:rsid w:val="00005BDD"/>
    <w:rsid w:val="0001145D"/>
    <w:rsid w:val="00012EC4"/>
    <w:rsid w:val="00013877"/>
    <w:rsid w:val="000145C8"/>
    <w:rsid w:val="00016F90"/>
    <w:rsid w:val="0001744E"/>
    <w:rsid w:val="00017F3C"/>
    <w:rsid w:val="00021D3A"/>
    <w:rsid w:val="000224E5"/>
    <w:rsid w:val="0002279D"/>
    <w:rsid w:val="00022FA5"/>
    <w:rsid w:val="00024EF0"/>
    <w:rsid w:val="00031D7C"/>
    <w:rsid w:val="00035ACA"/>
    <w:rsid w:val="00037612"/>
    <w:rsid w:val="00041EC8"/>
    <w:rsid w:val="000431E3"/>
    <w:rsid w:val="00045576"/>
    <w:rsid w:val="0005496A"/>
    <w:rsid w:val="00054FC6"/>
    <w:rsid w:val="000619E9"/>
    <w:rsid w:val="0006465A"/>
    <w:rsid w:val="000648F6"/>
    <w:rsid w:val="00065329"/>
    <w:rsid w:val="0006588D"/>
    <w:rsid w:val="00066FA0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6F4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3633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5762"/>
    <w:rsid w:val="00177D6B"/>
    <w:rsid w:val="00184334"/>
    <w:rsid w:val="00185880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771"/>
    <w:rsid w:val="001E78D3"/>
    <w:rsid w:val="001F06EA"/>
    <w:rsid w:val="001F1699"/>
    <w:rsid w:val="001F1D6B"/>
    <w:rsid w:val="001F629E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64E4"/>
    <w:rsid w:val="00217951"/>
    <w:rsid w:val="0022437C"/>
    <w:rsid w:val="00224E36"/>
    <w:rsid w:val="00232000"/>
    <w:rsid w:val="00234E1A"/>
    <w:rsid w:val="002370B0"/>
    <w:rsid w:val="00237695"/>
    <w:rsid w:val="00240B81"/>
    <w:rsid w:val="00240E11"/>
    <w:rsid w:val="00245EE0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3B57"/>
    <w:rsid w:val="002A416D"/>
    <w:rsid w:val="002A62D7"/>
    <w:rsid w:val="002A7C0F"/>
    <w:rsid w:val="002B2A79"/>
    <w:rsid w:val="002B615F"/>
    <w:rsid w:val="002B696D"/>
    <w:rsid w:val="002B6B58"/>
    <w:rsid w:val="002C1924"/>
    <w:rsid w:val="002C31BF"/>
    <w:rsid w:val="002D2102"/>
    <w:rsid w:val="002D5307"/>
    <w:rsid w:val="002D5535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61855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2EB6"/>
    <w:rsid w:val="00394893"/>
    <w:rsid w:val="003956C6"/>
    <w:rsid w:val="003A7237"/>
    <w:rsid w:val="003A72CE"/>
    <w:rsid w:val="003B0BAF"/>
    <w:rsid w:val="003B111D"/>
    <w:rsid w:val="003B240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3532F"/>
    <w:rsid w:val="004378A4"/>
    <w:rsid w:val="00443210"/>
    <w:rsid w:val="0044359F"/>
    <w:rsid w:val="004461DF"/>
    <w:rsid w:val="00450F07"/>
    <w:rsid w:val="00453CD3"/>
    <w:rsid w:val="00455B83"/>
    <w:rsid w:val="004570EC"/>
    <w:rsid w:val="00460660"/>
    <w:rsid w:val="00460D5A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0BA4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527A"/>
    <w:rsid w:val="004F70CD"/>
    <w:rsid w:val="00500C8E"/>
    <w:rsid w:val="0050666E"/>
    <w:rsid w:val="00511AB9"/>
    <w:rsid w:val="0051203F"/>
    <w:rsid w:val="00515137"/>
    <w:rsid w:val="00523BB5"/>
    <w:rsid w:val="00523EA7"/>
    <w:rsid w:val="00525187"/>
    <w:rsid w:val="0052735A"/>
    <w:rsid w:val="00527D23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3A91"/>
    <w:rsid w:val="00554D0D"/>
    <w:rsid w:val="00555884"/>
    <w:rsid w:val="0055798A"/>
    <w:rsid w:val="00562909"/>
    <w:rsid w:val="0056407F"/>
    <w:rsid w:val="0056409C"/>
    <w:rsid w:val="005736B7"/>
    <w:rsid w:val="00575274"/>
    <w:rsid w:val="00575472"/>
    <w:rsid w:val="00575E5A"/>
    <w:rsid w:val="00580245"/>
    <w:rsid w:val="00585A86"/>
    <w:rsid w:val="0058742A"/>
    <w:rsid w:val="00587CA4"/>
    <w:rsid w:val="00590B8A"/>
    <w:rsid w:val="00595C4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E63E0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34BB"/>
    <w:rsid w:val="00634834"/>
    <w:rsid w:val="00645371"/>
    <w:rsid w:val="0065007D"/>
    <w:rsid w:val="006501CA"/>
    <w:rsid w:val="0065086D"/>
    <w:rsid w:val="00651AF9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68AA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D2833"/>
    <w:rsid w:val="006D3862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0350"/>
    <w:rsid w:val="007A202B"/>
    <w:rsid w:val="007A4FA9"/>
    <w:rsid w:val="007A5172"/>
    <w:rsid w:val="007A67A0"/>
    <w:rsid w:val="007B0D64"/>
    <w:rsid w:val="007B133E"/>
    <w:rsid w:val="007B1A9D"/>
    <w:rsid w:val="007B1F2E"/>
    <w:rsid w:val="007B570C"/>
    <w:rsid w:val="007C0F65"/>
    <w:rsid w:val="007C15BD"/>
    <w:rsid w:val="007C4C8F"/>
    <w:rsid w:val="007C67E0"/>
    <w:rsid w:val="007D41FF"/>
    <w:rsid w:val="007E0E61"/>
    <w:rsid w:val="007E4A6E"/>
    <w:rsid w:val="007E6E2D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3DA6"/>
    <w:rsid w:val="00805809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3B48"/>
    <w:rsid w:val="00865F5F"/>
    <w:rsid w:val="00872C00"/>
    <w:rsid w:val="00873DC9"/>
    <w:rsid w:val="00874BB5"/>
    <w:rsid w:val="00877EEA"/>
    <w:rsid w:val="00880744"/>
    <w:rsid w:val="008819E0"/>
    <w:rsid w:val="0088200B"/>
    <w:rsid w:val="008828A6"/>
    <w:rsid w:val="00886163"/>
    <w:rsid w:val="0088683E"/>
    <w:rsid w:val="00887F36"/>
    <w:rsid w:val="00890A4F"/>
    <w:rsid w:val="00891AAE"/>
    <w:rsid w:val="00892D2B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64B8"/>
    <w:rsid w:val="008C7EFE"/>
    <w:rsid w:val="008D03B9"/>
    <w:rsid w:val="008D2896"/>
    <w:rsid w:val="008D30C7"/>
    <w:rsid w:val="008D34E6"/>
    <w:rsid w:val="008D41E7"/>
    <w:rsid w:val="008E3E00"/>
    <w:rsid w:val="008E54C8"/>
    <w:rsid w:val="008E6A16"/>
    <w:rsid w:val="008F18D6"/>
    <w:rsid w:val="008F2C9B"/>
    <w:rsid w:val="008F6197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8320D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07F9F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364C"/>
    <w:rsid w:val="00A64587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873AD"/>
    <w:rsid w:val="00A94C2F"/>
    <w:rsid w:val="00A94F0E"/>
    <w:rsid w:val="00A95445"/>
    <w:rsid w:val="00A97BF8"/>
    <w:rsid w:val="00AA4CBB"/>
    <w:rsid w:val="00AA65FA"/>
    <w:rsid w:val="00AA7351"/>
    <w:rsid w:val="00AB06AB"/>
    <w:rsid w:val="00AB3A25"/>
    <w:rsid w:val="00AB6BE0"/>
    <w:rsid w:val="00AB78C1"/>
    <w:rsid w:val="00AC3E83"/>
    <w:rsid w:val="00AC547E"/>
    <w:rsid w:val="00AC59BD"/>
    <w:rsid w:val="00AC5BC0"/>
    <w:rsid w:val="00AC678D"/>
    <w:rsid w:val="00AD056F"/>
    <w:rsid w:val="00AD0C7B"/>
    <w:rsid w:val="00AD28D3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FCD"/>
    <w:rsid w:val="00B22106"/>
    <w:rsid w:val="00B31D98"/>
    <w:rsid w:val="00B331AB"/>
    <w:rsid w:val="00B344A3"/>
    <w:rsid w:val="00B413E7"/>
    <w:rsid w:val="00B44CC6"/>
    <w:rsid w:val="00B46BA5"/>
    <w:rsid w:val="00B479CC"/>
    <w:rsid w:val="00B47EEE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06D9"/>
    <w:rsid w:val="00BA2F47"/>
    <w:rsid w:val="00BA6534"/>
    <w:rsid w:val="00BB04DD"/>
    <w:rsid w:val="00BB5275"/>
    <w:rsid w:val="00BB645D"/>
    <w:rsid w:val="00BC0405"/>
    <w:rsid w:val="00BC06C4"/>
    <w:rsid w:val="00BC5413"/>
    <w:rsid w:val="00BC5755"/>
    <w:rsid w:val="00BC62DD"/>
    <w:rsid w:val="00BD1149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208A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55CB8"/>
    <w:rsid w:val="00C61444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4B8C"/>
    <w:rsid w:val="00CA71A9"/>
    <w:rsid w:val="00CB05FC"/>
    <w:rsid w:val="00CB6A37"/>
    <w:rsid w:val="00CB7684"/>
    <w:rsid w:val="00CC10D3"/>
    <w:rsid w:val="00CC11FB"/>
    <w:rsid w:val="00CC2699"/>
    <w:rsid w:val="00CC7C8F"/>
    <w:rsid w:val="00CD1383"/>
    <w:rsid w:val="00CD1FC4"/>
    <w:rsid w:val="00CD54FF"/>
    <w:rsid w:val="00CE1C97"/>
    <w:rsid w:val="00CE7600"/>
    <w:rsid w:val="00CF034F"/>
    <w:rsid w:val="00CF2936"/>
    <w:rsid w:val="00D0273B"/>
    <w:rsid w:val="00D02F18"/>
    <w:rsid w:val="00D034A0"/>
    <w:rsid w:val="00D0359E"/>
    <w:rsid w:val="00D04909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2547"/>
    <w:rsid w:val="00D67D3D"/>
    <w:rsid w:val="00D72E77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8FB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E77EB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39D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105F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0D26"/>
    <w:rsid w:val="00EF1373"/>
    <w:rsid w:val="00EF37AE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4E1"/>
    <w:rsid w:val="00F71810"/>
    <w:rsid w:val="00F71ED6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4B3E"/>
    <w:rsid w:val="00FB5DE8"/>
    <w:rsid w:val="00FB6342"/>
    <w:rsid w:val="00FC0944"/>
    <w:rsid w:val="00FC4D1B"/>
    <w:rsid w:val="00FC6389"/>
    <w:rsid w:val="00FD55A7"/>
    <w:rsid w:val="00FE0699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63A5B"/>
  <w15:docId w15:val="{117484E5-904A-424B-8D56-74D3F7DE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FE2C3043D44141A33ED3C956BF8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3D04C6-2CC1-42BD-9DDB-9939359BDC26}"/>
      </w:docPartPr>
      <w:docPartBody>
        <w:p w:rsidR="00C122A8" w:rsidRDefault="00C122A8">
          <w:pPr>
            <w:pStyle w:val="CBFE2C3043D44141A33ED3C956BF87B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A8"/>
    <w:rsid w:val="00703D98"/>
    <w:rsid w:val="007240FA"/>
    <w:rsid w:val="008E0728"/>
    <w:rsid w:val="00936E7A"/>
    <w:rsid w:val="00C122A8"/>
    <w:rsid w:val="00EB0B9C"/>
    <w:rsid w:val="00F5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BFE2C3043D44141A33ED3C956BF87B2">
    <w:name w:val="CBFE2C3043D44141A33ED3C956BF8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1413EAA-E98D-400B-A5F9-F906627D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2668</Words>
  <Characters>15745</Characters>
  <Application>Microsoft Office Word</Application>
  <DocSecurity>0</DocSecurity>
  <Lines>131</Lines>
  <Paragraphs>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Grečnár Martin, Ing.</dc:creator>
  <cp:lastModifiedBy>Fojta Petr, Ing.</cp:lastModifiedBy>
  <cp:revision>8</cp:revision>
  <cp:lastPrinted>2024-02-14T09:30:00Z</cp:lastPrinted>
  <dcterms:created xsi:type="dcterms:W3CDTF">2024-06-06T07:07:00Z</dcterms:created>
  <dcterms:modified xsi:type="dcterms:W3CDTF">2024-06-11T13:42:00Z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